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center"/>
        <w:outlineLvl w:val="9"/>
        <w:rPr>
          <w:rFonts w:eastAsia="方正小标宋简体"/>
          <w:color w:val="000000"/>
          <w:sz w:val="72"/>
          <w:szCs w:val="72"/>
        </w:rPr>
      </w:pPr>
      <w:bookmarkStart w:id="0" w:name="_Toc15306267"/>
    </w:p>
    <w:p>
      <w:pPr>
        <w:contextualSpacing/>
        <w:jc w:val="center"/>
        <w:outlineLvl w:val="9"/>
        <w:rPr>
          <w:rFonts w:eastAsia="方正小标宋简体"/>
          <w:color w:val="000000"/>
          <w:sz w:val="72"/>
          <w:szCs w:val="72"/>
        </w:rPr>
      </w:pPr>
    </w:p>
    <w:p>
      <w:pPr>
        <w:contextualSpacing/>
        <w:jc w:val="center"/>
        <w:outlineLvl w:val="9"/>
        <w:rPr>
          <w:rFonts w:eastAsia="方正小标宋简体"/>
          <w:color w:val="000000"/>
          <w:sz w:val="72"/>
          <w:szCs w:val="72"/>
        </w:rPr>
      </w:pPr>
    </w:p>
    <w:p>
      <w:pPr>
        <w:contextualSpacing/>
        <w:jc w:val="center"/>
        <w:outlineLvl w:val="9"/>
        <w:rPr>
          <w:rFonts w:eastAsia="方正小标宋简体"/>
          <w:color w:val="000000"/>
          <w:sz w:val="72"/>
          <w:szCs w:val="72"/>
        </w:rPr>
      </w:pPr>
    </w:p>
    <w:p>
      <w:pPr>
        <w:spacing w:line="578" w:lineRule="exact"/>
        <w:jc w:val="center"/>
        <w:rPr>
          <w:rFonts w:hint="eastAsia" w:ascii="方正小标宋简体" w:hAnsi="Calibri" w:eastAsia="方正小标宋简体" w:cs="Times New Roman"/>
          <w:b/>
          <w:sz w:val="44"/>
          <w:szCs w:val="44"/>
          <w:lang w:eastAsia="zh-CN"/>
        </w:rPr>
      </w:pPr>
      <w:bookmarkStart w:id="1" w:name="_Toc15378441"/>
      <w:bookmarkStart w:id="2" w:name="_Toc15396597"/>
      <w:bookmarkStart w:id="3" w:name="_Toc15396475"/>
      <w:bookmarkStart w:id="4" w:name="_Toc15377193"/>
      <w:bookmarkStart w:id="5" w:name="_Toc15377425"/>
      <w:bookmarkStart w:id="6" w:name="_Toc51763395"/>
      <w:r>
        <w:rPr>
          <w:rFonts w:hint="eastAsia" w:ascii="方正小标宋简体" w:hAnsi="Calibri" w:eastAsia="方正小标宋简体" w:cs="Times New Roman"/>
          <w:b/>
          <w:sz w:val="44"/>
          <w:szCs w:val="44"/>
          <w:lang w:eastAsia="zh-CN"/>
        </w:rPr>
        <w:t>202</w:t>
      </w:r>
      <w:r>
        <w:rPr>
          <w:rFonts w:hint="eastAsia" w:ascii="方正小标宋简体" w:hAnsi="Calibri" w:eastAsia="方正小标宋简体" w:cs="Times New Roman"/>
          <w:b/>
          <w:sz w:val="44"/>
          <w:szCs w:val="44"/>
          <w:lang w:val="en-US" w:eastAsia="zh-CN"/>
        </w:rPr>
        <w:t>1</w:t>
      </w:r>
      <w:r>
        <w:rPr>
          <w:rFonts w:hint="eastAsia" w:ascii="方正小标宋简体" w:hAnsi="Calibri" w:eastAsia="方正小标宋简体" w:cs="Times New Roman"/>
          <w:b/>
          <w:sz w:val="44"/>
          <w:szCs w:val="44"/>
          <w:lang w:eastAsia="zh-CN"/>
        </w:rPr>
        <w:t>年度</w:t>
      </w:r>
      <w:bookmarkEnd w:id="1"/>
      <w:bookmarkEnd w:id="2"/>
      <w:bookmarkEnd w:id="3"/>
      <w:bookmarkEnd w:id="4"/>
      <w:bookmarkEnd w:id="5"/>
      <w:bookmarkEnd w:id="6"/>
    </w:p>
    <w:p>
      <w:pPr>
        <w:spacing w:line="578" w:lineRule="exact"/>
        <w:jc w:val="center"/>
        <w:rPr>
          <w:rFonts w:hint="eastAsia" w:ascii="方正小标宋简体" w:hAnsi="Calibri" w:eastAsia="方正小标宋简体" w:cs="Times New Roman"/>
          <w:b/>
          <w:sz w:val="44"/>
          <w:szCs w:val="44"/>
          <w:lang w:eastAsia="zh-CN"/>
        </w:rPr>
      </w:pPr>
      <w:bookmarkStart w:id="7" w:name="_Toc51763396"/>
      <w:bookmarkStart w:id="8" w:name="_Toc15377194"/>
      <w:bookmarkStart w:id="9" w:name="_Toc15377426"/>
      <w:bookmarkStart w:id="10" w:name="_Toc15396476"/>
      <w:bookmarkStart w:id="11" w:name="_Toc15378442"/>
      <w:bookmarkStart w:id="12" w:name="_Toc15396598"/>
      <w:r>
        <w:rPr>
          <w:rFonts w:hint="eastAsia" w:ascii="方正小标宋简体" w:hAnsi="Calibri" w:eastAsia="方正小标宋简体" w:cs="Times New Roman"/>
          <w:b/>
          <w:sz w:val="44"/>
          <w:szCs w:val="44"/>
          <w:lang w:eastAsia="zh-CN"/>
        </w:rPr>
        <w:t>泸</w:t>
      </w:r>
      <w:bookmarkEnd w:id="0"/>
      <w:bookmarkStart w:id="13" w:name="_Toc15306268"/>
      <w:r>
        <w:rPr>
          <w:rFonts w:hint="eastAsia" w:ascii="方正小标宋简体" w:hAnsi="Calibri" w:eastAsia="方正小标宋简体" w:cs="Times New Roman"/>
          <w:b/>
          <w:sz w:val="44"/>
          <w:szCs w:val="44"/>
          <w:lang w:eastAsia="zh-CN"/>
        </w:rPr>
        <w:t>县公共资源交易中心</w:t>
      </w:r>
      <w:bookmarkEnd w:id="7"/>
    </w:p>
    <w:p>
      <w:pPr>
        <w:spacing w:line="578" w:lineRule="exact"/>
        <w:jc w:val="center"/>
        <w:rPr>
          <w:rFonts w:hint="eastAsia" w:ascii="方正小标宋简体" w:hAnsi="Calibri" w:eastAsia="方正小标宋简体" w:cs="Times New Roman"/>
          <w:b/>
          <w:sz w:val="44"/>
          <w:szCs w:val="44"/>
          <w:lang w:eastAsia="zh-CN"/>
        </w:rPr>
      </w:pPr>
      <w:bookmarkStart w:id="14" w:name="_Toc51763397"/>
      <w:r>
        <w:rPr>
          <w:rFonts w:hint="eastAsia" w:ascii="方正小标宋简体" w:hAnsi="Calibri" w:eastAsia="方正小标宋简体" w:cs="Times New Roman"/>
          <w:b/>
          <w:sz w:val="44"/>
          <w:szCs w:val="44"/>
          <w:lang w:eastAsia="zh-CN"/>
        </w:rPr>
        <w:t>部门决算</w:t>
      </w:r>
      <w:bookmarkEnd w:id="8"/>
      <w:bookmarkEnd w:id="9"/>
      <w:bookmarkEnd w:id="10"/>
      <w:bookmarkEnd w:id="11"/>
      <w:bookmarkEnd w:id="12"/>
      <w:bookmarkEnd w:id="13"/>
      <w:bookmarkEnd w:id="14"/>
      <w:r>
        <w:rPr>
          <w:rFonts w:hint="eastAsia" w:ascii="方正小标宋简体" w:hAnsi="Calibri" w:eastAsia="方正小标宋简体" w:cs="Times New Roman"/>
          <w:b/>
          <w:sz w:val="44"/>
          <w:szCs w:val="44"/>
          <w:lang w:eastAsia="zh-CN"/>
        </w:rPr>
        <w:t>编制说明</w:t>
      </w:r>
    </w:p>
    <w:p>
      <w:pPr>
        <w:jc w:val="center"/>
        <w:rPr>
          <w:rFonts w:ascii="方正小标宋简体" w:hAnsi="方正小标宋简体" w:eastAsia="方正小标宋简体"/>
          <w:sz w:val="72"/>
          <w:szCs w:val="72"/>
        </w:rPr>
      </w:pPr>
    </w:p>
    <w:p>
      <w:pPr>
        <w:widowControl/>
        <w:contextualSpacing/>
        <w:jc w:val="center"/>
        <w:rPr>
          <w:rFonts w:eastAsia="黑体"/>
          <w:color w:val="000000"/>
          <w:sz w:val="48"/>
          <w:szCs w:val="48"/>
        </w:rPr>
      </w:pPr>
      <w:r>
        <w:rPr>
          <w:rFonts w:eastAsia="方正小标宋简体"/>
          <w:color w:val="000000"/>
          <w:sz w:val="36"/>
          <w:szCs w:val="36"/>
        </w:rPr>
        <w:br w:type="page"/>
      </w:r>
    </w:p>
    <w:sdt>
      <w:sdtPr>
        <w:rPr>
          <w:rFonts w:ascii="宋体" w:hAnsi="宋体" w:eastAsia="宋体" w:cs="Times New Roman"/>
          <w:kern w:val="2"/>
          <w:sz w:val="21"/>
          <w:szCs w:val="24"/>
          <w:lang w:val="en-US" w:eastAsia="zh-CN" w:bidi="ar-SA"/>
        </w:rPr>
        <w:id w:val="147459001"/>
        <w15:color w:val="DBDBDB"/>
        <w:docPartObj>
          <w:docPartGallery w:val="Table of Contents"/>
          <w:docPartUnique/>
        </w:docPartObj>
      </w:sdtPr>
      <w:sdtEndPr>
        <w:rPr>
          <w:rStyle w:val="19"/>
          <w:rFonts w:hint="eastAsia" w:ascii="宋体" w:hAnsi="宋体" w:eastAsia="宋体" w:cs="宋体"/>
          <w:b w:val="0"/>
          <w:bCs w:val="0"/>
          <w:kern w:val="2"/>
          <w:sz w:val="28"/>
          <w:szCs w:val="28"/>
          <w:lang w:val="en-US" w:eastAsia="zh-CN" w:bidi="ar-SA"/>
        </w:rPr>
      </w:sdtEndPr>
      <w:sdtContent>
        <w:p>
          <w:pPr>
            <w:pStyle w:val="33"/>
            <w:spacing w:before="0" w:line="240" w:lineRule="auto"/>
            <w:contextualSpacing/>
            <w:jc w:val="center"/>
            <w:rPr>
              <w:rFonts w:hint="eastAsia" w:ascii="黑体" w:hAnsi="黑体" w:eastAsia="黑体" w:cs="黑体"/>
              <w:b/>
              <w:bCs w:val="0"/>
              <w:color w:val="auto"/>
              <w:kern w:val="2"/>
              <w:sz w:val="44"/>
              <w:szCs w:val="44"/>
              <w:lang w:val="en-US" w:eastAsia="zh-CN" w:bidi="ar-SA"/>
            </w:rPr>
          </w:pPr>
          <w:bookmarkStart w:id="15" w:name="_Toc15396599"/>
          <w:bookmarkStart w:id="16" w:name="_Toc15377196"/>
          <w:bookmarkStart w:id="17" w:name="_Toc51763398"/>
          <w:r>
            <w:rPr>
              <w:rFonts w:hint="eastAsia" w:ascii="黑体" w:hAnsi="黑体" w:eastAsia="黑体" w:cs="黑体"/>
              <w:b/>
              <w:bCs w:val="0"/>
              <w:color w:val="auto"/>
              <w:kern w:val="2"/>
              <w:sz w:val="44"/>
              <w:szCs w:val="44"/>
              <w:lang w:val="en-US" w:eastAsia="zh-CN" w:bidi="ar-SA"/>
            </w:rPr>
            <w:t>目  录</w:t>
          </w:r>
        </w:p>
        <w:p>
          <w:pPr>
            <w:pStyle w:val="12"/>
            <w:pageBreakBefore w:val="0"/>
            <w:kinsoku/>
            <w:wordWrap/>
            <w:overflowPunct/>
            <w:topLinePunct w:val="0"/>
            <w:bidi w:val="0"/>
            <w:spacing w:before="0" w:line="578"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公开时间：2022年11月25日</w:t>
          </w:r>
        </w:p>
        <w:p>
          <w:pPr>
            <w:spacing w:before="0" w:beforeLines="0" w:after="0" w:afterLines="0" w:line="240" w:lineRule="auto"/>
            <w:ind w:left="0" w:leftChars="0" w:right="0" w:rightChars="0" w:firstLine="0" w:firstLineChars="0"/>
            <w:jc w:val="center"/>
            <w:rPr>
              <w:rFonts w:hint="eastAsia" w:ascii="仿宋" w:hAnsi="仿宋" w:eastAsia="仿宋" w:cs="仿宋"/>
              <w:color w:val="000000"/>
              <w:kern w:val="0"/>
              <w:sz w:val="32"/>
              <w:szCs w:val="32"/>
              <w:lang w:val="en-US" w:eastAsia="zh-CN" w:bidi="ar-SA"/>
            </w:rPr>
          </w:pPr>
        </w:p>
        <w:p>
          <w:pPr>
            <w:pStyle w:val="43"/>
            <w:tabs>
              <w:tab w:val="right" w:leader="dot" w:pos="8306"/>
            </w:tabs>
            <w:rPr>
              <w:rStyle w:val="19"/>
              <w:rFonts w:hint="default"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TOC \o "1-2" \h \u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_Toc29965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第一部分 部门概况</w:t>
          </w:r>
          <w:r>
            <w:rPr>
              <w:rStyle w:val="19"/>
              <w:rFonts w:hint="eastAsia" w:ascii="宋体" w:hAnsi="宋体" w:eastAsia="宋体" w:cs="宋体"/>
              <w:b w:val="0"/>
              <w:bCs w:val="0"/>
              <w:kern w:val="2"/>
              <w:sz w:val="28"/>
              <w:szCs w:val="28"/>
              <w:lang w:val="en-US" w:eastAsia="zh-CN" w:bidi="ar-SA"/>
            </w:rPr>
            <w:tab/>
          </w: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PAGEREF _Toc29965 \h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4</w:t>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cs="宋体"/>
              <w:b w:val="0"/>
              <w:bCs w:val="0"/>
              <w:kern w:val="2"/>
              <w:sz w:val="28"/>
              <w:szCs w:val="28"/>
              <w:lang w:val="en-US" w:eastAsia="zh-CN" w:bidi="ar-SA"/>
            </w:rPr>
            <w:t>-5</w:t>
          </w:r>
        </w:p>
        <w:p>
          <w:pPr>
            <w:pStyle w:val="44"/>
            <w:tabs>
              <w:tab w:val="right" w:leader="dot" w:pos="8306"/>
            </w:tabs>
            <w:rPr>
              <w:rStyle w:val="19"/>
              <w:rFonts w:hint="default"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_Toc16850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一、基本职能及主要工作</w:t>
          </w:r>
          <w:r>
            <w:rPr>
              <w:rStyle w:val="19"/>
              <w:rFonts w:hint="eastAsia" w:ascii="宋体" w:hAnsi="宋体" w:eastAsia="宋体" w:cs="宋体"/>
              <w:b w:val="0"/>
              <w:bCs w:val="0"/>
              <w:kern w:val="2"/>
              <w:sz w:val="28"/>
              <w:szCs w:val="28"/>
              <w:lang w:val="en-US" w:eastAsia="zh-CN" w:bidi="ar-SA"/>
            </w:rPr>
            <w:tab/>
          </w: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PAGEREF _Toc16850 \h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4</w:t>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cs="宋体"/>
              <w:b w:val="0"/>
              <w:bCs w:val="0"/>
              <w:kern w:val="2"/>
              <w:sz w:val="28"/>
              <w:szCs w:val="28"/>
              <w:lang w:val="en-US" w:eastAsia="zh-CN" w:bidi="ar-SA"/>
            </w:rPr>
            <w:t>-5</w:t>
          </w:r>
        </w:p>
        <w:p>
          <w:pPr>
            <w:pStyle w:val="44"/>
            <w:tabs>
              <w:tab w:val="right" w:leader="dot" w:pos="8306"/>
            </w:tabs>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_Toc30134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二、机构设置</w:t>
          </w:r>
          <w:r>
            <w:rPr>
              <w:rStyle w:val="19"/>
              <w:rFonts w:hint="eastAsia" w:ascii="宋体" w:hAnsi="宋体" w:eastAsia="宋体" w:cs="宋体"/>
              <w:b w:val="0"/>
              <w:bCs w:val="0"/>
              <w:kern w:val="2"/>
              <w:sz w:val="28"/>
              <w:szCs w:val="28"/>
              <w:lang w:val="en-US" w:eastAsia="zh-CN" w:bidi="ar-SA"/>
            </w:rPr>
            <w:tab/>
          </w: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PAGEREF _Toc30134 \h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5</w:t>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eastAsia="宋体" w:cs="宋体"/>
              <w:b w:val="0"/>
              <w:bCs w:val="0"/>
              <w:kern w:val="2"/>
              <w:sz w:val="28"/>
              <w:szCs w:val="28"/>
              <w:lang w:val="en-US" w:eastAsia="zh-CN" w:bidi="ar-SA"/>
            </w:rPr>
            <w:fldChar w:fldCharType="end"/>
          </w:r>
        </w:p>
        <w:p>
          <w:pPr>
            <w:pStyle w:val="43"/>
            <w:tabs>
              <w:tab w:val="right" w:leader="dot" w:pos="8306"/>
            </w:tabs>
            <w:rPr>
              <w:rStyle w:val="19"/>
              <w:rFonts w:hint="default"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_Toc14691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第二部分 202</w:t>
          </w:r>
          <w:r>
            <w:rPr>
              <w:rStyle w:val="19"/>
              <w:rFonts w:hint="eastAsia" w:ascii="宋体" w:hAnsi="宋体" w:cs="宋体"/>
              <w:b w:val="0"/>
              <w:bCs w:val="0"/>
              <w:kern w:val="2"/>
              <w:sz w:val="28"/>
              <w:szCs w:val="28"/>
              <w:lang w:val="en-US" w:eastAsia="zh-CN" w:bidi="ar-SA"/>
            </w:rPr>
            <w:t>1</w:t>
          </w:r>
          <w:r>
            <w:rPr>
              <w:rStyle w:val="19"/>
              <w:rFonts w:hint="eastAsia" w:ascii="宋体" w:hAnsi="宋体" w:eastAsia="宋体" w:cs="宋体"/>
              <w:b w:val="0"/>
              <w:bCs w:val="0"/>
              <w:kern w:val="2"/>
              <w:sz w:val="28"/>
              <w:szCs w:val="28"/>
              <w:lang w:val="en-US" w:eastAsia="zh-CN" w:bidi="ar-SA"/>
            </w:rPr>
            <w:t>年度部门决算情况说明</w:t>
          </w:r>
          <w:r>
            <w:rPr>
              <w:rStyle w:val="19"/>
              <w:rFonts w:hint="eastAsia" w:ascii="宋体" w:hAnsi="宋体" w:eastAsia="宋体" w:cs="宋体"/>
              <w:b w:val="0"/>
              <w:bCs w:val="0"/>
              <w:kern w:val="2"/>
              <w:sz w:val="28"/>
              <w:szCs w:val="28"/>
              <w:lang w:val="en-US" w:eastAsia="zh-CN" w:bidi="ar-SA"/>
            </w:rPr>
            <w:tab/>
          </w: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PAGEREF _Toc14691 \h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6</w:t>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cs="宋体"/>
              <w:b w:val="0"/>
              <w:bCs w:val="0"/>
              <w:kern w:val="2"/>
              <w:sz w:val="28"/>
              <w:szCs w:val="28"/>
              <w:lang w:val="en-US" w:eastAsia="zh-CN" w:bidi="ar-SA"/>
            </w:rPr>
            <w:t>-18</w:t>
          </w:r>
        </w:p>
        <w:p>
          <w:pPr>
            <w:pStyle w:val="44"/>
            <w:tabs>
              <w:tab w:val="right" w:leader="dot" w:pos="8306"/>
            </w:tabs>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_Toc1667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一、收入支出决算总体情况说明</w:t>
          </w:r>
          <w:r>
            <w:rPr>
              <w:rStyle w:val="19"/>
              <w:rFonts w:hint="eastAsia" w:ascii="宋体" w:hAnsi="宋体" w:eastAsia="宋体" w:cs="宋体"/>
              <w:b w:val="0"/>
              <w:bCs w:val="0"/>
              <w:kern w:val="2"/>
              <w:sz w:val="28"/>
              <w:szCs w:val="28"/>
              <w:lang w:val="en-US" w:eastAsia="zh-CN" w:bidi="ar-SA"/>
            </w:rPr>
            <w:tab/>
          </w: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PAGEREF _Toc1667 \h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6</w:t>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9"/>
              <w:rFonts w:hint="default"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_Toc29720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二、收入决算情况说明</w:t>
          </w:r>
          <w:r>
            <w:rPr>
              <w:rStyle w:val="19"/>
              <w:rFonts w:hint="eastAsia" w:ascii="宋体" w:hAnsi="宋体" w:eastAsia="宋体" w:cs="宋体"/>
              <w:b w:val="0"/>
              <w:bCs w:val="0"/>
              <w:kern w:val="2"/>
              <w:sz w:val="28"/>
              <w:szCs w:val="28"/>
              <w:lang w:val="en-US" w:eastAsia="zh-CN" w:bidi="ar-SA"/>
            </w:rPr>
            <w:tab/>
          </w: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PAGEREF _Toc29720 \h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6</w:t>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cs="宋体"/>
              <w:b w:val="0"/>
              <w:bCs w:val="0"/>
              <w:kern w:val="2"/>
              <w:sz w:val="28"/>
              <w:szCs w:val="28"/>
              <w:lang w:val="en-US" w:eastAsia="zh-CN" w:bidi="ar-SA"/>
            </w:rPr>
            <w:t>-7</w:t>
          </w:r>
        </w:p>
        <w:p>
          <w:pPr>
            <w:pStyle w:val="44"/>
            <w:tabs>
              <w:tab w:val="right" w:leader="dot" w:pos="8306"/>
            </w:tabs>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_Toc5160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三、支出决算情况说明</w:t>
          </w:r>
          <w:r>
            <w:rPr>
              <w:rStyle w:val="19"/>
              <w:rFonts w:hint="eastAsia" w:ascii="宋体" w:hAnsi="宋体" w:eastAsia="宋体" w:cs="宋体"/>
              <w:b w:val="0"/>
              <w:bCs w:val="0"/>
              <w:kern w:val="2"/>
              <w:sz w:val="28"/>
              <w:szCs w:val="28"/>
              <w:lang w:val="en-US" w:eastAsia="zh-CN" w:bidi="ar-SA"/>
            </w:rPr>
            <w:tab/>
          </w: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PAGEREF _Toc5160 \h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7</w:t>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_Toc639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四、财政拨款收入支出决算总体情况说明</w:t>
          </w:r>
          <w:r>
            <w:rPr>
              <w:rStyle w:val="19"/>
              <w:rFonts w:hint="eastAsia" w:ascii="宋体" w:hAnsi="宋体" w:eastAsia="宋体" w:cs="宋体"/>
              <w:b w:val="0"/>
              <w:bCs w:val="0"/>
              <w:kern w:val="2"/>
              <w:sz w:val="28"/>
              <w:szCs w:val="28"/>
              <w:lang w:val="en-US" w:eastAsia="zh-CN" w:bidi="ar-SA"/>
            </w:rPr>
            <w:tab/>
          </w: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PAGEREF _Toc639 \h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8</w:t>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9"/>
              <w:rFonts w:hint="default"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_Toc28946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五、一般公共预算财政拨款支出决算情况说明</w:t>
          </w:r>
          <w:r>
            <w:rPr>
              <w:rStyle w:val="19"/>
              <w:rFonts w:hint="eastAsia" w:ascii="宋体" w:hAnsi="宋体" w:eastAsia="宋体" w:cs="宋体"/>
              <w:b w:val="0"/>
              <w:bCs w:val="0"/>
              <w:kern w:val="2"/>
              <w:sz w:val="28"/>
              <w:szCs w:val="28"/>
              <w:lang w:val="en-US" w:eastAsia="zh-CN" w:bidi="ar-SA"/>
            </w:rPr>
            <w:tab/>
          </w: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PAGEREF _Toc28946 \h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8</w:t>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cs="宋体"/>
              <w:b w:val="0"/>
              <w:bCs w:val="0"/>
              <w:kern w:val="2"/>
              <w:sz w:val="28"/>
              <w:szCs w:val="28"/>
              <w:lang w:val="en-US" w:eastAsia="zh-CN" w:bidi="ar-SA"/>
            </w:rPr>
            <w:t>-11</w:t>
          </w:r>
        </w:p>
        <w:p>
          <w:pPr>
            <w:pStyle w:val="44"/>
            <w:tabs>
              <w:tab w:val="right" w:leader="dot" w:pos="8306"/>
            </w:tabs>
            <w:rPr>
              <w:rStyle w:val="19"/>
              <w:rFonts w:hint="default"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_Toc18686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六、一般公共预算财政拨款基本支出决算情况说明</w:t>
          </w:r>
          <w:r>
            <w:rPr>
              <w:rStyle w:val="19"/>
              <w:rFonts w:hint="eastAsia" w:ascii="宋体" w:hAnsi="宋体" w:eastAsia="宋体" w:cs="宋体"/>
              <w:b w:val="0"/>
              <w:bCs w:val="0"/>
              <w:kern w:val="2"/>
              <w:sz w:val="28"/>
              <w:szCs w:val="28"/>
              <w:lang w:val="en-US" w:eastAsia="zh-CN" w:bidi="ar-SA"/>
            </w:rPr>
            <w:tab/>
          </w: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PAGEREF _Toc18686 \h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11</w:t>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9"/>
              <w:rFonts w:hint="default"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_Toc9472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七、“三公”经费财政拨款支出决算情况说明</w:t>
          </w:r>
          <w:r>
            <w:rPr>
              <w:rStyle w:val="19"/>
              <w:rFonts w:hint="eastAsia" w:ascii="宋体" w:hAnsi="宋体" w:eastAsia="宋体" w:cs="宋体"/>
              <w:b w:val="0"/>
              <w:bCs w:val="0"/>
              <w:kern w:val="2"/>
              <w:sz w:val="28"/>
              <w:szCs w:val="28"/>
              <w:lang w:val="en-US" w:eastAsia="zh-CN" w:bidi="ar-SA"/>
            </w:rPr>
            <w:tab/>
          </w: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PAGEREF _Toc9472 \h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11</w:t>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cs="宋体"/>
              <w:b w:val="0"/>
              <w:bCs w:val="0"/>
              <w:kern w:val="2"/>
              <w:sz w:val="28"/>
              <w:szCs w:val="28"/>
              <w:lang w:val="en-US" w:eastAsia="zh-CN" w:bidi="ar-SA"/>
            </w:rPr>
            <w:t>-13</w:t>
          </w:r>
        </w:p>
        <w:p>
          <w:pPr>
            <w:pStyle w:val="44"/>
            <w:tabs>
              <w:tab w:val="right" w:leader="dot" w:pos="8306"/>
            </w:tabs>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_Toc14748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八、政府性基金预算支出决算情况说明</w:t>
          </w:r>
          <w:r>
            <w:rPr>
              <w:rStyle w:val="19"/>
              <w:rFonts w:hint="eastAsia" w:ascii="宋体" w:hAnsi="宋体" w:eastAsia="宋体" w:cs="宋体"/>
              <w:b w:val="0"/>
              <w:bCs w:val="0"/>
              <w:kern w:val="2"/>
              <w:sz w:val="28"/>
              <w:szCs w:val="28"/>
              <w:lang w:val="en-US" w:eastAsia="zh-CN" w:bidi="ar-SA"/>
            </w:rPr>
            <w:tab/>
          </w: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PAGEREF _Toc14748 \h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13</w:t>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_Toc17934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九、 国有资本经营预算支出决算情况说明</w:t>
          </w:r>
          <w:r>
            <w:rPr>
              <w:rStyle w:val="19"/>
              <w:rFonts w:hint="eastAsia" w:ascii="宋体" w:hAnsi="宋体" w:eastAsia="宋体" w:cs="宋体"/>
              <w:b w:val="0"/>
              <w:bCs w:val="0"/>
              <w:kern w:val="2"/>
              <w:sz w:val="28"/>
              <w:szCs w:val="28"/>
              <w:lang w:val="en-US" w:eastAsia="zh-CN" w:bidi="ar-SA"/>
            </w:rPr>
            <w:tab/>
          </w: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PAGEREF _Toc17934 \h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13</w:t>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9"/>
              <w:rFonts w:hint="default"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_Toc13655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十、其他重要事项的情况说明</w:t>
          </w:r>
          <w:r>
            <w:rPr>
              <w:rStyle w:val="19"/>
              <w:rFonts w:hint="eastAsia" w:ascii="宋体" w:hAnsi="宋体" w:eastAsia="宋体" w:cs="宋体"/>
              <w:b w:val="0"/>
              <w:bCs w:val="0"/>
              <w:kern w:val="2"/>
              <w:sz w:val="28"/>
              <w:szCs w:val="28"/>
              <w:lang w:val="en-US" w:eastAsia="zh-CN" w:bidi="ar-SA"/>
            </w:rPr>
            <w:tab/>
          </w: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PAGEREF _Toc13655 \h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13</w:t>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cs="宋体"/>
              <w:b w:val="0"/>
              <w:bCs w:val="0"/>
              <w:kern w:val="2"/>
              <w:sz w:val="28"/>
              <w:szCs w:val="28"/>
              <w:lang w:val="en-US" w:eastAsia="zh-CN" w:bidi="ar-SA"/>
            </w:rPr>
            <w:t>-18</w:t>
          </w:r>
        </w:p>
        <w:p>
          <w:pPr>
            <w:pStyle w:val="43"/>
            <w:tabs>
              <w:tab w:val="right" w:leader="dot" w:pos="8306"/>
            </w:tabs>
            <w:rPr>
              <w:rStyle w:val="19"/>
              <w:rFonts w:hint="default"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_Toc3921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第三部分 名词解释</w:t>
          </w:r>
          <w:r>
            <w:rPr>
              <w:rStyle w:val="19"/>
              <w:rFonts w:hint="eastAsia" w:ascii="宋体" w:hAnsi="宋体" w:eastAsia="宋体" w:cs="宋体"/>
              <w:b w:val="0"/>
              <w:bCs w:val="0"/>
              <w:kern w:val="2"/>
              <w:sz w:val="28"/>
              <w:szCs w:val="28"/>
              <w:lang w:val="en-US" w:eastAsia="zh-CN" w:bidi="ar-SA"/>
            </w:rPr>
            <w:tab/>
          </w: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PAGEREF _Toc3921 \h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19</w:t>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cs="宋体"/>
              <w:b w:val="0"/>
              <w:bCs w:val="0"/>
              <w:kern w:val="2"/>
              <w:sz w:val="28"/>
              <w:szCs w:val="28"/>
              <w:lang w:val="en-US" w:eastAsia="zh-CN" w:bidi="ar-SA"/>
            </w:rPr>
            <w:t>-20</w:t>
          </w:r>
        </w:p>
        <w:p>
          <w:pPr>
            <w:pStyle w:val="43"/>
            <w:tabs>
              <w:tab w:val="right" w:leader="dot" w:pos="8306"/>
            </w:tabs>
            <w:rPr>
              <w:rStyle w:val="19"/>
              <w:rFonts w:hint="default"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_Toc6351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第四部分 附件</w:t>
          </w:r>
          <w:r>
            <w:rPr>
              <w:rStyle w:val="19"/>
              <w:rFonts w:hint="eastAsia" w:ascii="宋体" w:hAnsi="宋体" w:eastAsia="宋体" w:cs="宋体"/>
              <w:b w:val="0"/>
              <w:bCs w:val="0"/>
              <w:kern w:val="2"/>
              <w:sz w:val="28"/>
              <w:szCs w:val="28"/>
              <w:lang w:val="en-US" w:eastAsia="zh-CN" w:bidi="ar-SA"/>
            </w:rPr>
            <w:tab/>
          </w: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PAGEREF _Toc6351 \h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21</w:t>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cs="宋体"/>
              <w:b w:val="0"/>
              <w:bCs w:val="0"/>
              <w:kern w:val="2"/>
              <w:sz w:val="28"/>
              <w:szCs w:val="28"/>
              <w:lang w:val="en-US" w:eastAsia="zh-CN" w:bidi="ar-SA"/>
            </w:rPr>
            <w:t>-31</w:t>
          </w:r>
        </w:p>
        <w:p>
          <w:pPr>
            <w:pStyle w:val="43"/>
            <w:tabs>
              <w:tab w:val="right" w:leader="dot" w:pos="8306"/>
            </w:tabs>
            <w:rPr>
              <w:rStyle w:val="19"/>
              <w:rFonts w:hint="eastAsia" w:ascii="宋体" w:hAnsi="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_Toc18757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附件1</w:t>
          </w:r>
          <w:r>
            <w:rPr>
              <w:rStyle w:val="19"/>
              <w:rFonts w:hint="eastAsia" w:ascii="宋体" w:hAnsi="宋体" w:eastAsia="宋体" w:cs="宋体"/>
              <w:b w:val="0"/>
              <w:bCs w:val="0"/>
              <w:kern w:val="2"/>
              <w:sz w:val="28"/>
              <w:szCs w:val="28"/>
              <w:lang w:val="en-US" w:eastAsia="zh-CN" w:bidi="ar-SA"/>
            </w:rPr>
            <w:tab/>
          </w: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PAGEREF _Toc18757 \h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21</w:t>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cs="宋体"/>
              <w:b w:val="0"/>
              <w:bCs w:val="0"/>
              <w:kern w:val="2"/>
              <w:sz w:val="28"/>
              <w:szCs w:val="28"/>
              <w:lang w:val="en-US" w:eastAsia="zh-CN" w:bidi="ar-SA"/>
            </w:rPr>
            <w:t>-23</w:t>
          </w:r>
        </w:p>
        <w:p>
          <w:pPr>
            <w:pStyle w:val="43"/>
            <w:tabs>
              <w:tab w:val="right" w:leader="dot" w:pos="8306"/>
            </w:tabs>
            <w:rPr>
              <w:rStyle w:val="19"/>
              <w:rFonts w:hint="default" w:ascii="宋体" w:hAnsi="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_Toc18757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附件</w:t>
          </w:r>
          <w:r>
            <w:rPr>
              <w:rStyle w:val="19"/>
              <w:rFonts w:hint="eastAsia" w:ascii="宋体" w:hAnsi="宋体" w:cs="宋体"/>
              <w:b w:val="0"/>
              <w:bCs w:val="0"/>
              <w:kern w:val="2"/>
              <w:sz w:val="28"/>
              <w:szCs w:val="28"/>
              <w:lang w:val="en-US" w:eastAsia="zh-CN" w:bidi="ar-SA"/>
            </w:rPr>
            <w:t>2</w:t>
          </w:r>
          <w:r>
            <w:rPr>
              <w:rStyle w:val="19"/>
              <w:rFonts w:hint="eastAsia" w:ascii="宋体" w:hAnsi="宋体" w:eastAsia="宋体" w:cs="宋体"/>
              <w:b w:val="0"/>
              <w:bCs w:val="0"/>
              <w:kern w:val="2"/>
              <w:sz w:val="28"/>
              <w:szCs w:val="28"/>
              <w:lang w:val="en-US" w:eastAsia="zh-CN" w:bidi="ar-SA"/>
            </w:rPr>
            <w:tab/>
          </w: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PAGEREF _Toc18757 \h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2</w:t>
          </w:r>
          <w:r>
            <w:rPr>
              <w:rStyle w:val="19"/>
              <w:rFonts w:hint="eastAsia" w:ascii="宋体" w:hAnsi="宋体" w:cs="宋体"/>
              <w:b w:val="0"/>
              <w:bCs w:val="0"/>
              <w:kern w:val="2"/>
              <w:sz w:val="28"/>
              <w:szCs w:val="28"/>
              <w:lang w:val="en-US" w:eastAsia="zh-CN" w:bidi="ar-SA"/>
            </w:rPr>
            <w:t>4</w:t>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cs="宋体"/>
              <w:b w:val="0"/>
              <w:bCs w:val="0"/>
              <w:kern w:val="2"/>
              <w:sz w:val="28"/>
              <w:szCs w:val="28"/>
              <w:lang w:val="en-US" w:eastAsia="zh-CN" w:bidi="ar-SA"/>
            </w:rPr>
            <w:t>-31</w:t>
          </w:r>
          <w:bookmarkStart w:id="130" w:name="_GoBack"/>
          <w:bookmarkEnd w:id="130"/>
        </w:p>
        <w:p>
          <w:pPr>
            <w:pStyle w:val="43"/>
            <w:tabs>
              <w:tab w:val="right" w:leader="dot" w:pos="8306"/>
            </w:tabs>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_Toc22404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第五部分 附表</w:t>
          </w:r>
          <w:r>
            <w:rPr>
              <w:rStyle w:val="19"/>
              <w:rFonts w:hint="eastAsia" w:ascii="宋体" w:hAnsi="宋体" w:eastAsia="宋体" w:cs="宋体"/>
              <w:b w:val="0"/>
              <w:bCs w:val="0"/>
              <w:kern w:val="2"/>
              <w:sz w:val="28"/>
              <w:szCs w:val="28"/>
              <w:lang w:val="en-US" w:eastAsia="zh-CN" w:bidi="ar-SA"/>
            </w:rPr>
            <w:tab/>
          </w: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PAGEREF _Toc22404 \h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32</w:t>
          </w:r>
          <w:r>
            <w:rPr>
              <w:rStyle w:val="19"/>
              <w:rFonts w:hint="eastAsia" w:ascii="宋体" w:hAnsi="宋体" w:eastAsia="宋体" w:cs="宋体"/>
              <w:b w:val="0"/>
              <w:bCs w:val="0"/>
              <w:kern w:val="2"/>
              <w:sz w:val="28"/>
              <w:szCs w:val="28"/>
              <w:lang w:val="en-US" w:eastAsia="zh-CN" w:bidi="ar-SA"/>
            </w:rPr>
            <w:fldChar w:fldCharType="end"/>
          </w:r>
          <w:r>
            <w:rPr>
              <w:rStyle w:val="19"/>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_Toc31373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一、收入支出决算总表</w:t>
          </w:r>
          <w:r>
            <w:rPr>
              <w:rStyle w:val="19"/>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_Toc25105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二、收入决算表</w:t>
          </w:r>
          <w:r>
            <w:rPr>
              <w:rStyle w:val="19"/>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_Toc19418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三、支出决算表</w:t>
          </w:r>
          <w:r>
            <w:rPr>
              <w:rStyle w:val="19"/>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_Toc14067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四、财政拨款收入支出决算总表</w:t>
          </w:r>
          <w:r>
            <w:rPr>
              <w:rStyle w:val="19"/>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_Toc8185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五、财政拨款支出决算明细表</w:t>
          </w:r>
          <w:r>
            <w:rPr>
              <w:rStyle w:val="19"/>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_Toc15079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六、一般公共预算财政拨款支出决算表</w:t>
          </w:r>
          <w:r>
            <w:rPr>
              <w:rStyle w:val="19"/>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_Toc10577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七、一般公共预算财政拨款支出决算明细表</w:t>
          </w:r>
          <w:r>
            <w:rPr>
              <w:rStyle w:val="19"/>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_Toc7398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八、一般公共预算财政拨款基本支出决算表</w:t>
          </w:r>
          <w:r>
            <w:rPr>
              <w:rStyle w:val="19"/>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_Toc20573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九、一般公共预算财政拨款项目支出决算表</w:t>
          </w:r>
          <w:r>
            <w:rPr>
              <w:rStyle w:val="19"/>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_Toc27458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十、一般公共预算财政拨款“三公”经费支出决算表</w:t>
          </w:r>
          <w:r>
            <w:rPr>
              <w:rStyle w:val="19"/>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_Toc6886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十一、政府性基金预算财政拨款收入支出决算表</w:t>
          </w:r>
          <w:r>
            <w:rPr>
              <w:rStyle w:val="19"/>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_Toc27254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十二、政府性基金预算财政拨款“三公”经费支出决算表</w:t>
          </w:r>
          <w:r>
            <w:rPr>
              <w:rStyle w:val="19"/>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_Toc512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十三、国有资本经营预算财政拨款收入支出决算表</w:t>
          </w:r>
          <w:r>
            <w:rPr>
              <w:rStyle w:val="19"/>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begin"/>
          </w:r>
          <w:r>
            <w:rPr>
              <w:rStyle w:val="19"/>
              <w:rFonts w:hint="eastAsia" w:ascii="宋体" w:hAnsi="宋体" w:eastAsia="宋体" w:cs="宋体"/>
              <w:b w:val="0"/>
              <w:bCs w:val="0"/>
              <w:kern w:val="2"/>
              <w:sz w:val="28"/>
              <w:szCs w:val="28"/>
              <w:lang w:val="en-US" w:eastAsia="zh-CN" w:bidi="ar-SA"/>
            </w:rPr>
            <w:instrText xml:space="preserve"> HYPERLINK \l _Toc931 </w:instrText>
          </w:r>
          <w:r>
            <w:rPr>
              <w:rStyle w:val="19"/>
              <w:rFonts w:hint="eastAsia" w:ascii="宋体" w:hAnsi="宋体" w:eastAsia="宋体" w:cs="宋体"/>
              <w:b w:val="0"/>
              <w:bCs w:val="0"/>
              <w:kern w:val="2"/>
              <w:sz w:val="28"/>
              <w:szCs w:val="28"/>
              <w:lang w:val="en-US" w:eastAsia="zh-CN" w:bidi="ar-SA"/>
            </w:rPr>
            <w:fldChar w:fldCharType="separate"/>
          </w:r>
          <w:r>
            <w:rPr>
              <w:rStyle w:val="19"/>
              <w:rFonts w:hint="eastAsia" w:ascii="宋体" w:hAnsi="宋体" w:eastAsia="宋体" w:cs="宋体"/>
              <w:b w:val="0"/>
              <w:bCs w:val="0"/>
              <w:kern w:val="2"/>
              <w:sz w:val="28"/>
              <w:szCs w:val="28"/>
              <w:lang w:val="en-US" w:eastAsia="zh-CN" w:bidi="ar-SA"/>
            </w:rPr>
            <w:t>十四、国有资本经营预算财政拨款支出决算表</w:t>
          </w:r>
          <w:r>
            <w:rPr>
              <w:rStyle w:val="19"/>
              <w:rFonts w:hint="eastAsia" w:ascii="宋体" w:hAnsi="宋体" w:eastAsia="宋体" w:cs="宋体"/>
              <w:b w:val="0"/>
              <w:bCs w:val="0"/>
              <w:kern w:val="2"/>
              <w:sz w:val="28"/>
              <w:szCs w:val="28"/>
              <w:lang w:val="en-US" w:eastAsia="zh-CN" w:bidi="ar-SA"/>
            </w:rPr>
            <w:fldChar w:fldCharType="end"/>
          </w:r>
        </w:p>
        <w:p>
          <w:pPr>
            <w:rPr>
              <w:rStyle w:val="19"/>
              <w:rFonts w:hint="eastAsia" w:ascii="宋体" w:hAnsi="宋体" w:eastAsia="宋体" w:cs="宋体"/>
              <w:b w:val="0"/>
              <w:bCs w:val="0"/>
              <w:kern w:val="2"/>
              <w:sz w:val="28"/>
              <w:szCs w:val="28"/>
              <w:lang w:val="en-US" w:eastAsia="zh-CN" w:bidi="ar-SA"/>
            </w:rPr>
          </w:pPr>
          <w:r>
            <w:rPr>
              <w:rStyle w:val="19"/>
              <w:rFonts w:hint="eastAsia" w:ascii="宋体" w:hAnsi="宋体" w:eastAsia="宋体" w:cs="宋体"/>
              <w:b w:val="0"/>
              <w:bCs w:val="0"/>
              <w:kern w:val="2"/>
              <w:sz w:val="28"/>
              <w:szCs w:val="28"/>
              <w:lang w:val="en-US" w:eastAsia="zh-CN" w:bidi="ar-SA"/>
            </w:rPr>
            <w:fldChar w:fldCharType="end"/>
          </w:r>
        </w:p>
      </w:sdtContent>
    </w:sdt>
    <w:p>
      <w:pPr>
        <w:pStyle w:val="3"/>
        <w:spacing w:before="0" w:after="0" w:line="240" w:lineRule="auto"/>
        <w:contextualSpacing/>
        <w:jc w:val="center"/>
        <w:rPr>
          <w:rFonts w:ascii="黑体" w:hAnsi="黑体" w:eastAsia="黑体"/>
          <w:b w:val="0"/>
          <w:bCs w:val="0"/>
        </w:rPr>
      </w:pPr>
      <w:bookmarkStart w:id="18" w:name="_Toc29965"/>
    </w:p>
    <w:p>
      <w:pPr>
        <w:rPr>
          <w:rFonts w:ascii="黑体" w:hAnsi="黑体" w:eastAsia="黑体"/>
          <w:b w:val="0"/>
          <w:bCs w:val="0"/>
        </w:rPr>
      </w:pPr>
    </w:p>
    <w:p>
      <w:pPr>
        <w:pStyle w:val="2"/>
        <w:rPr>
          <w:rFonts w:ascii="黑体" w:hAnsi="黑体" w:eastAsia="黑体"/>
          <w:b w:val="0"/>
          <w:bCs w:val="0"/>
        </w:rPr>
      </w:pPr>
    </w:p>
    <w:p>
      <w:pPr>
        <w:pStyle w:val="2"/>
        <w:ind w:left="0" w:leftChars="0" w:firstLine="0" w:firstLineChars="0"/>
        <w:rPr>
          <w:rFonts w:ascii="黑体" w:hAnsi="黑体" w:eastAsia="黑体"/>
          <w:b w:val="0"/>
          <w:bCs w:val="0"/>
        </w:rPr>
      </w:pPr>
    </w:p>
    <w:p>
      <w:pPr>
        <w:pStyle w:val="3"/>
        <w:pageBreakBefore w:val="0"/>
        <w:kinsoku/>
        <w:wordWrap/>
        <w:overflowPunct/>
        <w:topLinePunct w:val="0"/>
        <w:bidi w:val="0"/>
        <w:snapToGrid/>
        <w:spacing w:before="0" w:after="0" w:line="578" w:lineRule="exact"/>
        <w:contextualSpacing/>
        <w:jc w:val="center"/>
        <w:textAlignment w:val="auto"/>
        <w:rPr>
          <w:rFonts w:ascii="黑体" w:hAnsi="黑体" w:eastAsia="黑体"/>
          <w:b w:val="0"/>
          <w:bCs w:val="0"/>
        </w:rPr>
      </w:pPr>
      <w:r>
        <w:rPr>
          <w:rFonts w:ascii="黑体" w:hAnsi="黑体" w:eastAsia="黑体"/>
          <w:b w:val="0"/>
          <w:bCs w:val="0"/>
        </w:rPr>
        <w:t>第一部分</w:t>
      </w:r>
      <w:r>
        <w:rPr>
          <w:rFonts w:hint="eastAsia" w:ascii="黑体" w:hAnsi="黑体" w:eastAsia="黑体"/>
          <w:b w:val="0"/>
          <w:bCs w:val="0"/>
        </w:rPr>
        <w:t xml:space="preserve"> 部门</w:t>
      </w:r>
      <w:r>
        <w:rPr>
          <w:rFonts w:ascii="黑体" w:hAnsi="黑体" w:eastAsia="黑体"/>
          <w:b w:val="0"/>
          <w:bCs w:val="0"/>
        </w:rPr>
        <w:t>概况</w:t>
      </w:r>
      <w:bookmarkEnd w:id="15"/>
      <w:bookmarkEnd w:id="16"/>
      <w:bookmarkEnd w:id="17"/>
      <w:bookmarkEnd w:id="18"/>
      <w:bookmarkStart w:id="19" w:name="_Toc15377197"/>
      <w:bookmarkStart w:id="20" w:name="_Toc15396600"/>
    </w:p>
    <w:p>
      <w:pPr>
        <w:pStyle w:val="4"/>
        <w:pageBreakBefore w:val="0"/>
        <w:kinsoku/>
        <w:wordWrap/>
        <w:overflowPunct/>
        <w:topLinePunct w:val="0"/>
        <w:bidi w:val="0"/>
        <w:snapToGrid/>
        <w:spacing w:before="0" w:after="0" w:line="578" w:lineRule="exact"/>
        <w:ind w:firstLine="640" w:firstLineChars="200"/>
        <w:contextualSpacing/>
        <w:textAlignment w:val="auto"/>
        <w:outlineLvl w:val="9"/>
        <w:rPr>
          <w:rFonts w:ascii="黑体" w:hAnsi="黑体" w:eastAsia="黑体"/>
          <w:b w:val="0"/>
          <w:bCs w:val="0"/>
        </w:rPr>
      </w:pPr>
      <w:bookmarkStart w:id="21" w:name="_Toc51763399"/>
    </w:p>
    <w:p>
      <w:pPr>
        <w:pStyle w:val="4"/>
        <w:pageBreakBefore w:val="0"/>
        <w:kinsoku/>
        <w:wordWrap/>
        <w:overflowPunct/>
        <w:topLinePunct w:val="0"/>
        <w:bidi w:val="0"/>
        <w:snapToGrid/>
        <w:spacing w:before="0" w:after="0" w:line="578" w:lineRule="exact"/>
        <w:ind w:firstLine="640" w:firstLineChars="200"/>
        <w:contextualSpacing/>
        <w:textAlignment w:val="auto"/>
        <w:rPr>
          <w:rFonts w:hint="eastAsia" w:ascii="黑体" w:hAnsi="黑体" w:eastAsia="黑体"/>
          <w:b w:val="0"/>
          <w:bCs w:val="0"/>
          <w:lang w:val="en-US" w:eastAsia="zh-CN"/>
        </w:rPr>
      </w:pPr>
      <w:bookmarkStart w:id="22" w:name="_Toc16850"/>
      <w:r>
        <w:rPr>
          <w:rFonts w:hint="eastAsia" w:ascii="黑体" w:hAnsi="黑体" w:eastAsia="黑体"/>
          <w:b w:val="0"/>
          <w:bCs w:val="0"/>
          <w:lang w:val="en-US" w:eastAsia="zh-CN"/>
        </w:rPr>
        <w:t>一、基本职能及主要工作</w:t>
      </w:r>
      <w:bookmarkEnd w:id="19"/>
      <w:bookmarkEnd w:id="20"/>
      <w:bookmarkEnd w:id="21"/>
      <w:bookmarkEnd w:id="22"/>
      <w:bookmarkStart w:id="23" w:name="_Toc51763400"/>
      <w:bookmarkStart w:id="24" w:name="_Toc15377198"/>
      <w:bookmarkStart w:id="25" w:name="_Toc15378445"/>
    </w:p>
    <w:p>
      <w:pPr>
        <w:pageBreakBefore w:val="0"/>
        <w:kinsoku/>
        <w:wordWrap/>
        <w:overflowPunct/>
        <w:topLinePunct w:val="0"/>
        <w:bidi w:val="0"/>
        <w:snapToGrid/>
        <w:spacing w:line="578" w:lineRule="exact"/>
        <w:ind w:firstLine="640" w:firstLineChars="200"/>
        <w:textAlignment w:val="auto"/>
        <w:rPr>
          <w:rFonts w:hint="eastAsia" w:ascii="Times New Roman" w:hAnsi="Times New Roman" w:eastAsia="楷体_GB2312" w:cs="Times New Roman"/>
          <w:kern w:val="0"/>
          <w:sz w:val="32"/>
          <w:szCs w:val="32"/>
          <w:shd w:val="clear" w:color="auto" w:fill="FFFFFF"/>
          <w:lang w:val="en-US" w:eastAsia="zh-CN" w:bidi="ar-SA"/>
        </w:rPr>
      </w:pPr>
      <w:r>
        <w:rPr>
          <w:rFonts w:hint="eastAsia" w:ascii="Times New Roman" w:hAnsi="Times New Roman" w:eastAsia="楷体_GB2312" w:cs="Times New Roman"/>
          <w:kern w:val="0"/>
          <w:sz w:val="32"/>
          <w:szCs w:val="32"/>
          <w:shd w:val="clear" w:color="auto" w:fill="FFFFFF"/>
          <w:lang w:val="en-US" w:eastAsia="zh-CN" w:bidi="ar-SA"/>
        </w:rPr>
        <w:t>（一）主要职能</w:t>
      </w:r>
      <w:bookmarkEnd w:id="23"/>
      <w:bookmarkEnd w:id="24"/>
      <w:bookmarkEnd w:id="25"/>
      <w:bookmarkStart w:id="26" w:name="_Toc51763401"/>
      <w:bookmarkStart w:id="27" w:name="_Toc15378446"/>
      <w:bookmarkStart w:id="28" w:name="_Toc15377199"/>
    </w:p>
    <w:bookmarkEnd w:id="26"/>
    <w:p>
      <w:pPr>
        <w:pStyle w:val="30"/>
        <w:pageBreakBefore w:val="0"/>
        <w:kinsoku/>
        <w:wordWrap/>
        <w:overflowPunct/>
        <w:topLinePunct w:val="0"/>
        <w:bidi w:val="0"/>
        <w:snapToGrid/>
        <w:spacing w:line="578" w:lineRule="exact"/>
        <w:ind w:firstLine="640" w:firstLineChars="200"/>
        <w:textAlignment w:val="auto"/>
        <w:rPr>
          <w:rFonts w:hint="eastAsia" w:ascii="Times New Roman" w:hAnsi="Times New Roman" w:eastAsia="仿宋" w:cs="Times New Roman"/>
          <w:b w:val="0"/>
          <w:bCs w:val="0"/>
          <w:color w:val="000000"/>
          <w:kern w:val="2"/>
          <w:sz w:val="32"/>
          <w:szCs w:val="32"/>
          <w:lang w:val="en-US" w:eastAsia="zh-CN" w:bidi="ar-SA"/>
        </w:rPr>
      </w:pPr>
      <w:bookmarkStart w:id="29" w:name="_Toc51763402"/>
      <w:r>
        <w:rPr>
          <w:rFonts w:hint="eastAsia" w:ascii="Times New Roman" w:hAnsi="Times New Roman" w:cs="Times New Roman"/>
          <w:b w:val="0"/>
          <w:bCs w:val="0"/>
          <w:color w:val="000000"/>
          <w:kern w:val="2"/>
          <w:sz w:val="32"/>
          <w:szCs w:val="32"/>
          <w:lang w:val="en-US" w:eastAsia="zh-CN" w:bidi="ar-SA"/>
        </w:rPr>
        <w:t>为</w:t>
      </w:r>
      <w:r>
        <w:rPr>
          <w:rFonts w:hint="eastAsia" w:ascii="Times New Roman" w:hAnsi="Times New Roman" w:eastAsia="仿宋" w:cs="Times New Roman"/>
          <w:b w:val="0"/>
          <w:bCs w:val="0"/>
          <w:color w:val="000000"/>
          <w:kern w:val="2"/>
          <w:sz w:val="32"/>
          <w:szCs w:val="32"/>
          <w:lang w:val="en-US" w:eastAsia="zh-CN" w:bidi="ar-SA"/>
        </w:rPr>
        <w:t>全县公共资源集中进行市场化配置服务，集中履行县政府授权的全县公共资源交易职能。</w:t>
      </w:r>
    </w:p>
    <w:p>
      <w:pPr>
        <w:pageBreakBefore w:val="0"/>
        <w:kinsoku/>
        <w:wordWrap/>
        <w:overflowPunct/>
        <w:topLinePunct w:val="0"/>
        <w:bidi w:val="0"/>
        <w:snapToGrid/>
        <w:spacing w:line="578" w:lineRule="exact"/>
        <w:ind w:firstLine="640" w:firstLineChars="200"/>
        <w:textAlignment w:val="auto"/>
        <w:rPr>
          <w:rFonts w:hint="eastAsia" w:ascii="Times New Roman" w:hAnsi="Times New Roman" w:eastAsia="楷体_GB2312" w:cs="Times New Roman"/>
          <w:kern w:val="0"/>
          <w:sz w:val="32"/>
          <w:szCs w:val="32"/>
          <w:shd w:val="clear" w:color="auto" w:fill="FFFFFF"/>
          <w:lang w:val="en-US" w:eastAsia="zh-CN" w:bidi="ar-SA"/>
        </w:rPr>
      </w:pPr>
      <w:r>
        <w:rPr>
          <w:rFonts w:hint="eastAsia" w:ascii="Times New Roman" w:hAnsi="Times New Roman" w:eastAsia="楷体_GB2312" w:cs="Times New Roman"/>
          <w:kern w:val="0"/>
          <w:sz w:val="32"/>
          <w:szCs w:val="32"/>
          <w:shd w:val="clear" w:color="auto" w:fill="FFFFFF"/>
          <w:lang w:val="en-US" w:eastAsia="zh-CN" w:bidi="ar-SA"/>
        </w:rPr>
        <w:t>（二）2021年重点工作完成情况</w:t>
      </w:r>
      <w:bookmarkEnd w:id="27"/>
      <w:bookmarkEnd w:id="28"/>
      <w:bookmarkEnd w:id="29"/>
    </w:p>
    <w:p>
      <w:pPr>
        <w:pStyle w:val="30"/>
        <w:pageBreakBefore w:val="0"/>
        <w:kinsoku/>
        <w:wordWrap/>
        <w:overflowPunct/>
        <w:topLinePunct w:val="0"/>
        <w:bidi w:val="0"/>
        <w:snapToGrid/>
        <w:spacing w:line="578" w:lineRule="exact"/>
        <w:ind w:firstLine="640" w:firstLineChars="200"/>
        <w:textAlignment w:val="auto"/>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bookmarkStart w:id="30" w:name="_Toc15396601"/>
      <w:bookmarkStart w:id="31" w:name="_Toc15377200"/>
      <w:bookmarkStart w:id="32" w:name="_Toc51763403"/>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1.实现“全流程电子化”。</w:t>
      </w:r>
      <w:r>
        <w:rPr>
          <w:rFonts w:hint="eastAsia" w:ascii="Times New Roman" w:hAnsi="Times New Roman" w:cs="Times New Roman"/>
          <w:b w:val="0"/>
          <w:bCs w:val="0"/>
          <w:color w:val="000000" w:themeColor="text1"/>
          <w:kern w:val="2"/>
          <w:sz w:val="32"/>
          <w:szCs w:val="32"/>
          <w:lang w:val="en-US" w:eastAsia="zh-CN" w:bidi="ar-SA"/>
          <w14:textFill>
            <w14:solidFill>
              <w14:schemeClr w14:val="tx1"/>
            </w14:solidFill>
          </w14:textFill>
        </w:rPr>
        <w:t>2021年</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中心顺利完成首个全流程电子化政府采购项目。采用“不见面开标”方式，从“实体开标大厅”搬至“网上虚拟开标大厅”，减少标书印制、投标往返等成本，堵住现场中标、围标漏洞，避免人员聚集，减轻疫情防控压力。电子化评标将招标人、投标人、评标专家从空间上成功隔离，有效防范了“暗箱操作”，更好地保障评标专家评审的独立性，真正实现开标“不见面”、投标“零跑腿”，评审“智能化”，减少了重复性、程序性工作，提高了采购效率。</w:t>
      </w:r>
    </w:p>
    <w:p>
      <w:pPr>
        <w:pStyle w:val="30"/>
        <w:pageBreakBefore w:val="0"/>
        <w:kinsoku/>
        <w:wordWrap/>
        <w:overflowPunct/>
        <w:topLinePunct w:val="0"/>
        <w:bidi w:val="0"/>
        <w:snapToGrid/>
        <w:spacing w:line="578" w:lineRule="exact"/>
        <w:ind w:firstLine="640" w:firstLineChars="200"/>
        <w:textAlignment w:val="auto"/>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cs="Times New Roman"/>
          <w:b w:val="0"/>
          <w:bCs w:val="0"/>
          <w:color w:val="000000" w:themeColor="text1"/>
          <w:kern w:val="2"/>
          <w:sz w:val="32"/>
          <w:szCs w:val="32"/>
          <w:lang w:val="en-US" w:eastAsia="zh-CN" w:bidi="ar-SA"/>
          <w14:textFill>
            <w14:solidFill>
              <w14:schemeClr w14:val="tx1"/>
            </w14:solidFill>
          </w14:textFill>
        </w:rPr>
        <w:t>2.</w:t>
      </w:r>
      <w:r>
        <w:rPr>
          <w:rFonts w:hint="eastAsia"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创建“示范交易中心”。推动完善基础设施，购置电</w:t>
      </w:r>
      <w:r>
        <w:rPr>
          <w:rFonts w:hint="eastAsia" w:ascii="Times New Roman" w:hAnsi="Times New Roman" w:eastAsia="仿宋" w:cs="Times New Roman"/>
          <w:b w:val="0"/>
          <w:bCs w:val="0"/>
          <w:color w:val="000000"/>
          <w:kern w:val="2"/>
          <w:sz w:val="32"/>
          <w:szCs w:val="32"/>
          <w:lang w:val="en-US" w:eastAsia="zh-CN" w:bidi="ar-SA"/>
        </w:rPr>
        <w:t>子评标硬件设备；完善交易目录，调整县本级公共资源交易目录列入必须进场交易范围；坚持信息全公开，在全国公共资源交易平台上发布交易公告、招标文件、成交结果等重要信息，主动接</w:t>
      </w:r>
      <w:r>
        <w:rPr>
          <w:rFonts w:hint="eastAsia" w:ascii="Times New Roman" w:hAnsi="Times New Roman" w:cs="Times New Roman"/>
          <w:b w:val="0"/>
          <w:bCs w:val="0"/>
          <w:color w:val="000000"/>
          <w:kern w:val="2"/>
          <w:sz w:val="32"/>
          <w:szCs w:val="32"/>
          <w:lang w:val="en-US" w:eastAsia="zh-CN" w:bidi="ar-SA"/>
        </w:rPr>
        <w:t>受</w:t>
      </w:r>
      <w:r>
        <w:rPr>
          <w:rFonts w:hint="eastAsia" w:ascii="Times New Roman" w:hAnsi="Times New Roman" w:eastAsia="仿宋" w:cs="Times New Roman"/>
          <w:b w:val="0"/>
          <w:bCs w:val="0"/>
          <w:color w:val="000000"/>
          <w:kern w:val="2"/>
          <w:sz w:val="32"/>
          <w:szCs w:val="32"/>
          <w:lang w:val="en-US" w:eastAsia="zh-CN" w:bidi="ar-SA"/>
        </w:rPr>
        <w:t>社会监督。鼓励村、社基础设施建设、高中后勤社会化服务承包、国有企业房屋（门市）资产转让出租项目自愿入场交易。通过全力开展“标准化、规范化”建设，年初，成功创建省级“示范交易中心”。</w:t>
      </w:r>
    </w:p>
    <w:p>
      <w:pPr>
        <w:pStyle w:val="30"/>
        <w:pageBreakBefore w:val="0"/>
        <w:kinsoku/>
        <w:wordWrap/>
        <w:overflowPunct/>
        <w:topLinePunct w:val="0"/>
        <w:bidi w:val="0"/>
        <w:snapToGrid/>
        <w:spacing w:line="578" w:lineRule="exact"/>
        <w:ind w:firstLine="640" w:firstLineChars="200"/>
        <w:textAlignment w:val="auto"/>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cs="Times New Roman"/>
          <w:b w:val="0"/>
          <w:bCs w:val="0"/>
          <w:color w:val="000000"/>
          <w:kern w:val="2"/>
          <w:sz w:val="32"/>
          <w:szCs w:val="32"/>
          <w:lang w:val="en-US" w:eastAsia="zh-CN" w:bidi="ar-SA"/>
        </w:rPr>
        <w:t>3.</w:t>
      </w:r>
      <w:r>
        <w:rPr>
          <w:rFonts w:hint="eastAsia" w:ascii="Times New Roman" w:hAnsi="Times New Roman" w:eastAsia="仿宋" w:cs="Times New Roman"/>
          <w:b w:val="0"/>
          <w:bCs w:val="0"/>
          <w:color w:val="000000"/>
          <w:kern w:val="2"/>
          <w:sz w:val="32"/>
          <w:szCs w:val="32"/>
          <w:lang w:val="en-US" w:eastAsia="zh-CN" w:bidi="ar-SA"/>
        </w:rPr>
        <w:t>优化“政府采购流程”。对供应商不再收取投标保证金，鼓励采购人免收中标供应商履约保证金，大大减轻投标主体的经济负担。支持中小企业发展，采取预留采购份额、价格评审优惠、优先采购等措施，提高中小企业在政府采购中的份额，大力优化营商环境。</w:t>
      </w:r>
    </w:p>
    <w:p>
      <w:pPr>
        <w:pStyle w:val="30"/>
        <w:pageBreakBefore w:val="0"/>
        <w:kinsoku/>
        <w:wordWrap/>
        <w:overflowPunct/>
        <w:topLinePunct w:val="0"/>
        <w:bidi w:val="0"/>
        <w:snapToGrid/>
        <w:spacing w:line="578" w:lineRule="exact"/>
        <w:ind w:firstLine="640" w:firstLineChars="200"/>
        <w:textAlignment w:val="auto"/>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cs="Times New Roman"/>
          <w:b w:val="0"/>
          <w:bCs w:val="0"/>
          <w:color w:val="000000"/>
          <w:kern w:val="2"/>
          <w:sz w:val="32"/>
          <w:szCs w:val="32"/>
          <w:lang w:val="en-US" w:eastAsia="zh-CN" w:bidi="ar-SA"/>
        </w:rPr>
        <w:t>4.</w:t>
      </w:r>
      <w:r>
        <w:rPr>
          <w:rFonts w:hint="eastAsia" w:ascii="Times New Roman" w:hAnsi="Times New Roman" w:eastAsia="仿宋" w:cs="Times New Roman"/>
          <w:b w:val="0"/>
          <w:bCs w:val="0"/>
          <w:color w:val="000000"/>
          <w:kern w:val="2"/>
          <w:sz w:val="32"/>
          <w:szCs w:val="32"/>
          <w:lang w:val="en-US" w:eastAsia="zh-CN" w:bidi="ar-SA"/>
        </w:rPr>
        <w:t>保障“地矿国资竞争”。对土地拍卖实行“盲拍”，先充分竞价，再拆封底价。对国资交易灵活采取现场竞价与网上拍卖、统一评分与综合优选相结合的形式，优选竞得人。</w:t>
      </w:r>
    </w:p>
    <w:p>
      <w:pPr>
        <w:pStyle w:val="30"/>
        <w:pageBreakBefore w:val="0"/>
        <w:kinsoku/>
        <w:wordWrap/>
        <w:overflowPunct/>
        <w:topLinePunct w:val="0"/>
        <w:bidi w:val="0"/>
        <w:snapToGrid/>
        <w:spacing w:line="578" w:lineRule="exact"/>
        <w:ind w:firstLine="640" w:firstLineChars="200"/>
        <w:textAlignment w:val="auto"/>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cs="Times New Roman"/>
          <w:b w:val="0"/>
          <w:bCs w:val="0"/>
          <w:color w:val="000000"/>
          <w:kern w:val="2"/>
          <w:sz w:val="32"/>
          <w:szCs w:val="32"/>
          <w:lang w:val="en-US" w:eastAsia="zh-CN" w:bidi="ar-SA"/>
        </w:rPr>
        <w:t>5.</w:t>
      </w:r>
      <w:r>
        <w:rPr>
          <w:rFonts w:hint="eastAsia" w:ascii="Times New Roman" w:hAnsi="Times New Roman" w:eastAsia="仿宋" w:cs="Times New Roman"/>
          <w:b w:val="0"/>
          <w:bCs w:val="0"/>
          <w:color w:val="000000"/>
          <w:kern w:val="2"/>
          <w:sz w:val="32"/>
          <w:szCs w:val="32"/>
          <w:lang w:val="en-US" w:eastAsia="zh-CN" w:bidi="ar-SA"/>
        </w:rPr>
        <w:t>推动“全流程化改革”。</w:t>
      </w:r>
      <w:r>
        <w:rPr>
          <w:rFonts w:hint="eastAsia" w:ascii="Times New Roman" w:hAnsi="Times New Roman" w:cs="Times New Roman"/>
          <w:b w:val="0"/>
          <w:bCs w:val="0"/>
          <w:color w:val="000000"/>
          <w:kern w:val="2"/>
          <w:sz w:val="32"/>
          <w:szCs w:val="32"/>
          <w:lang w:val="en-US" w:eastAsia="zh-CN" w:bidi="ar-SA"/>
        </w:rPr>
        <w:t>2021年</w:t>
      </w:r>
      <w:r>
        <w:rPr>
          <w:rFonts w:hint="eastAsia" w:ascii="Times New Roman" w:hAnsi="Times New Roman" w:eastAsia="仿宋" w:cs="Times New Roman"/>
          <w:b w:val="0"/>
          <w:bCs w:val="0"/>
          <w:color w:val="000000"/>
          <w:kern w:val="2"/>
          <w:sz w:val="32"/>
          <w:szCs w:val="32"/>
          <w:lang w:val="en-US" w:eastAsia="zh-CN" w:bidi="ar-SA"/>
        </w:rPr>
        <w:t xml:space="preserve">，班子全力推动流程化改革，重新划分股室责任，建立以交易流程为主线，以交易环节为管理单元，以交易受理、交易组织、综合服务三分段运行的机制。改革后，交易文件制作、开评标组织、数据分析和监控岗位人员之间协同配合，打破按照采购、工程、地矿、国资板块化运行和项目包干到底的做法，建立起三段制衡的工作机制。  </w:t>
      </w:r>
    </w:p>
    <w:p>
      <w:pPr>
        <w:pStyle w:val="4"/>
        <w:pageBreakBefore w:val="0"/>
        <w:kinsoku/>
        <w:wordWrap/>
        <w:overflowPunct/>
        <w:topLinePunct w:val="0"/>
        <w:bidi w:val="0"/>
        <w:snapToGrid/>
        <w:spacing w:before="0" w:after="0" w:line="578" w:lineRule="exact"/>
        <w:ind w:firstLine="640" w:firstLineChars="200"/>
        <w:contextualSpacing/>
        <w:textAlignment w:val="auto"/>
        <w:rPr>
          <w:rFonts w:hint="eastAsia" w:ascii="黑体" w:hAnsi="黑体" w:eastAsia="黑体"/>
          <w:b w:val="0"/>
          <w:bCs w:val="0"/>
        </w:rPr>
      </w:pPr>
      <w:bookmarkStart w:id="33" w:name="_Toc30134"/>
      <w:r>
        <w:rPr>
          <w:rFonts w:hint="eastAsia" w:ascii="黑体" w:hAnsi="黑体" w:eastAsia="黑体"/>
          <w:b w:val="0"/>
          <w:bCs w:val="0"/>
        </w:rPr>
        <w:t>二、机构设置</w:t>
      </w:r>
      <w:bookmarkEnd w:id="30"/>
      <w:bookmarkEnd w:id="31"/>
      <w:bookmarkEnd w:id="32"/>
      <w:bookmarkEnd w:id="33"/>
    </w:p>
    <w:p>
      <w:pPr>
        <w:pageBreakBefore w:val="0"/>
        <w:kinsoku/>
        <w:wordWrap/>
        <w:overflowPunct/>
        <w:topLinePunct w:val="0"/>
        <w:bidi w:val="0"/>
        <w:snapToGrid/>
        <w:spacing w:line="578" w:lineRule="exact"/>
        <w:ind w:firstLine="640"/>
        <w:contextualSpacing/>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泸县公共资源交易中心为一级预算单位，属全额拨款事业单位，无下属二级预算单位，内设办公室、</w:t>
      </w:r>
      <w:r>
        <w:rPr>
          <w:rFonts w:hint="eastAsia" w:eastAsia="仿宋" w:cs="Times New Roman"/>
          <w:color w:val="000000"/>
          <w:sz w:val="32"/>
          <w:szCs w:val="32"/>
          <w:lang w:val="en-US" w:eastAsia="zh-CN"/>
        </w:rPr>
        <w:t>交易组织</w:t>
      </w:r>
      <w:r>
        <w:rPr>
          <w:rFonts w:hint="eastAsia" w:ascii="Times New Roman" w:hAnsi="Times New Roman" w:eastAsia="仿宋" w:cs="Times New Roman"/>
          <w:color w:val="000000"/>
          <w:sz w:val="32"/>
          <w:szCs w:val="32"/>
          <w:lang w:val="en-US" w:eastAsia="zh-CN"/>
        </w:rPr>
        <w:t>股、</w:t>
      </w:r>
      <w:r>
        <w:rPr>
          <w:rFonts w:hint="eastAsia" w:eastAsia="仿宋" w:cs="Times New Roman"/>
          <w:color w:val="000000"/>
          <w:sz w:val="32"/>
          <w:szCs w:val="32"/>
          <w:lang w:val="en-US" w:eastAsia="zh-CN"/>
        </w:rPr>
        <w:t>交易受理股</w:t>
      </w:r>
      <w:r>
        <w:rPr>
          <w:rFonts w:hint="eastAsia" w:ascii="Times New Roman" w:hAnsi="Times New Roman" w:eastAsia="仿宋" w:cs="Times New Roman"/>
          <w:color w:val="000000"/>
          <w:sz w:val="32"/>
          <w:szCs w:val="32"/>
          <w:lang w:val="en-US" w:eastAsia="zh-CN"/>
        </w:rPr>
        <w:t>、</w:t>
      </w:r>
      <w:r>
        <w:rPr>
          <w:rFonts w:hint="eastAsia" w:eastAsia="仿宋" w:cs="Times New Roman"/>
          <w:color w:val="000000"/>
          <w:sz w:val="32"/>
          <w:szCs w:val="32"/>
          <w:lang w:val="en-US" w:eastAsia="zh-CN"/>
        </w:rPr>
        <w:t>交易综合股</w:t>
      </w:r>
      <w:r>
        <w:rPr>
          <w:rFonts w:hint="eastAsia" w:ascii="Times New Roman" w:hAnsi="Times New Roman" w:eastAsia="仿宋" w:cs="Times New Roman"/>
          <w:color w:val="000000"/>
          <w:sz w:val="32"/>
          <w:szCs w:val="32"/>
          <w:lang w:val="en-US" w:eastAsia="zh-CN"/>
        </w:rPr>
        <w:t>，核定事业编制人员19名，</w:t>
      </w:r>
      <w:r>
        <w:rPr>
          <w:rFonts w:hint="eastAsia" w:eastAsia="仿宋" w:cs="Times New Roman"/>
          <w:color w:val="000000"/>
          <w:sz w:val="32"/>
          <w:szCs w:val="32"/>
          <w:lang w:val="en-US" w:eastAsia="zh-CN"/>
        </w:rPr>
        <w:t>实</w:t>
      </w:r>
      <w:r>
        <w:rPr>
          <w:rFonts w:hint="eastAsia" w:ascii="Times New Roman" w:hAnsi="Times New Roman" w:eastAsia="仿宋" w:cs="Times New Roman"/>
          <w:color w:val="000000"/>
          <w:sz w:val="32"/>
          <w:szCs w:val="32"/>
          <w:lang w:val="en-US" w:eastAsia="zh-CN"/>
        </w:rPr>
        <w:t>有在编人员18名。</w:t>
      </w:r>
    </w:p>
    <w:p>
      <w:pPr>
        <w:pageBreakBefore w:val="0"/>
        <w:kinsoku/>
        <w:wordWrap/>
        <w:overflowPunct/>
        <w:topLinePunct w:val="0"/>
        <w:bidi w:val="0"/>
        <w:snapToGrid/>
        <w:spacing w:line="578" w:lineRule="exact"/>
        <w:ind w:firstLine="640"/>
        <w:contextualSpacing/>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2017年11月，中共泸县县委机构编制委员会设立泸县政府采购中心，与泸县公共资源交易中心实行一个机构、两块牌子的管理方式。</w:t>
      </w:r>
    </w:p>
    <w:p>
      <w:pPr>
        <w:pageBreakBefore w:val="0"/>
        <w:widowControl/>
        <w:kinsoku/>
        <w:wordWrap/>
        <w:overflowPunct/>
        <w:topLinePunct w:val="0"/>
        <w:bidi w:val="0"/>
        <w:snapToGrid/>
        <w:spacing w:line="578" w:lineRule="exact"/>
        <w:ind w:firstLine="640" w:firstLineChars="200"/>
        <w:contextualSpacing/>
        <w:textAlignment w:val="auto"/>
        <w:rPr>
          <w:rFonts w:eastAsia="黑体"/>
          <w:b w:val="0"/>
          <w:color w:val="000000"/>
        </w:rPr>
      </w:pPr>
      <w:r>
        <w:rPr>
          <w:rFonts w:eastAsia="仿宋"/>
          <w:color w:val="000000"/>
          <w:sz w:val="32"/>
          <w:szCs w:val="32"/>
        </w:rPr>
        <w:br w:type="page"/>
      </w:r>
    </w:p>
    <w:p>
      <w:pPr>
        <w:pStyle w:val="3"/>
        <w:pageBreakBefore w:val="0"/>
        <w:widowControl w:val="0"/>
        <w:kinsoku/>
        <w:wordWrap/>
        <w:overflowPunct/>
        <w:topLinePunct w:val="0"/>
        <w:autoSpaceDE/>
        <w:autoSpaceDN/>
        <w:bidi w:val="0"/>
        <w:adjustRightInd/>
        <w:snapToGrid/>
        <w:spacing w:before="0" w:after="0" w:line="578" w:lineRule="exact"/>
        <w:contextualSpacing/>
        <w:jc w:val="center"/>
        <w:textAlignment w:val="auto"/>
        <w:rPr>
          <w:rFonts w:ascii="黑体" w:hAnsi="黑体" w:eastAsia="黑体" w:cs="Times New Roman"/>
          <w:b w:val="0"/>
          <w:bCs w:val="0"/>
        </w:rPr>
      </w:pPr>
      <w:bookmarkStart w:id="34" w:name="_Toc14691"/>
      <w:r>
        <w:rPr>
          <w:rFonts w:ascii="黑体" w:hAnsi="黑体" w:eastAsia="黑体" w:cs="Times New Roman"/>
          <w:b w:val="0"/>
          <w:bCs w:val="0"/>
        </w:rPr>
        <w:t>第二部分 202</w:t>
      </w:r>
      <w:r>
        <w:rPr>
          <w:rFonts w:hint="eastAsia" w:ascii="黑体" w:hAnsi="黑体" w:eastAsia="黑体" w:cs="Times New Roman"/>
          <w:b w:val="0"/>
          <w:bCs w:val="0"/>
          <w:lang w:val="en-US" w:eastAsia="zh-CN"/>
        </w:rPr>
        <w:t>1</w:t>
      </w:r>
      <w:r>
        <w:rPr>
          <w:rFonts w:ascii="黑体" w:hAnsi="黑体" w:eastAsia="黑体" w:cs="Times New Roman"/>
          <w:b w:val="0"/>
          <w:bCs w:val="0"/>
        </w:rPr>
        <w:t>年度部门决算情况说明</w:t>
      </w:r>
      <w:bookmarkEnd w:id="34"/>
    </w:p>
    <w:p>
      <w:pPr>
        <w:pageBreakBefore w:val="0"/>
        <w:widowControl w:val="0"/>
        <w:kinsoku/>
        <w:wordWrap/>
        <w:overflowPunct/>
        <w:topLinePunct w:val="0"/>
        <w:autoSpaceDE/>
        <w:autoSpaceDN/>
        <w:bidi w:val="0"/>
        <w:adjustRightInd/>
        <w:snapToGrid/>
        <w:spacing w:line="578" w:lineRule="exact"/>
        <w:textAlignment w:val="auto"/>
      </w:pPr>
    </w:p>
    <w:p>
      <w:pPr>
        <w:pStyle w:val="31"/>
        <w:pageBreakBefore w:val="0"/>
        <w:widowControl w:val="0"/>
        <w:kinsoku/>
        <w:wordWrap/>
        <w:overflowPunct/>
        <w:topLinePunct w:val="0"/>
        <w:autoSpaceDE/>
        <w:autoSpaceDN/>
        <w:bidi w:val="0"/>
        <w:adjustRightInd/>
        <w:snapToGrid/>
        <w:spacing w:line="578" w:lineRule="exact"/>
        <w:ind w:firstLine="640"/>
        <w:textAlignment w:val="auto"/>
        <w:outlineLvl w:val="1"/>
        <w:rPr>
          <w:rStyle w:val="40"/>
          <w:rFonts w:ascii="Times New Roman" w:hAnsi="Times New Roman" w:eastAsia="黑体"/>
          <w:b w:val="0"/>
        </w:rPr>
      </w:pPr>
      <w:bookmarkStart w:id="35" w:name="_Toc1667"/>
      <w:bookmarkStart w:id="36" w:name="_Toc15377205"/>
      <w:bookmarkStart w:id="37" w:name="_Toc15396603"/>
      <w:r>
        <w:rPr>
          <w:rFonts w:eastAsia="黑体"/>
          <w:color w:val="000000"/>
          <w:sz w:val="32"/>
          <w:szCs w:val="32"/>
        </w:rPr>
        <w:t>一、收</w:t>
      </w:r>
      <w:r>
        <w:rPr>
          <w:rStyle w:val="40"/>
          <w:rFonts w:ascii="Times New Roman" w:hAnsi="Times New Roman" w:eastAsia="黑体"/>
          <w:b w:val="0"/>
        </w:rPr>
        <w:t>入支出决算总体情况说明</w:t>
      </w:r>
      <w:bookmarkEnd w:id="35"/>
      <w:bookmarkEnd w:id="36"/>
      <w:bookmarkEnd w:id="37"/>
    </w:p>
    <w:p>
      <w:pPr>
        <w:pageBreakBefore w:val="0"/>
        <w:widowControl w:val="0"/>
        <w:kinsoku/>
        <w:wordWrap/>
        <w:overflowPunct/>
        <w:topLinePunct w:val="0"/>
        <w:autoSpaceDE/>
        <w:autoSpaceDN/>
        <w:bidi w:val="0"/>
        <w:adjustRightInd/>
        <w:snapToGrid/>
        <w:spacing w:line="578" w:lineRule="exact"/>
        <w:ind w:firstLine="640"/>
        <w:contextualSpacing/>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202</w:t>
      </w:r>
      <w:r>
        <w:rPr>
          <w:rFonts w:hint="eastAsia" w:eastAsia="仿宋" w:cs="Times New Roman"/>
          <w:color w:val="000000"/>
          <w:sz w:val="32"/>
          <w:szCs w:val="32"/>
          <w:lang w:val="en-US" w:eastAsia="zh-CN"/>
        </w:rPr>
        <w:t>1</w:t>
      </w:r>
      <w:r>
        <w:rPr>
          <w:rFonts w:hint="eastAsia" w:ascii="Times New Roman" w:hAnsi="Times New Roman" w:eastAsia="仿宋" w:cs="Times New Roman"/>
          <w:color w:val="000000"/>
          <w:sz w:val="32"/>
          <w:szCs w:val="32"/>
          <w:lang w:val="en-US" w:eastAsia="zh-CN"/>
        </w:rPr>
        <w:t>年度收入、支出总计434.53万元，与20</w:t>
      </w:r>
      <w:r>
        <w:rPr>
          <w:rFonts w:hint="eastAsia" w:eastAsia="仿宋" w:cs="Times New Roman"/>
          <w:color w:val="000000"/>
          <w:sz w:val="32"/>
          <w:szCs w:val="32"/>
          <w:lang w:val="en-US" w:eastAsia="zh-CN"/>
        </w:rPr>
        <w:t>20</w:t>
      </w:r>
      <w:r>
        <w:rPr>
          <w:rFonts w:hint="eastAsia" w:ascii="Times New Roman" w:hAnsi="Times New Roman" w:eastAsia="仿宋" w:cs="Times New Roman"/>
          <w:color w:val="000000"/>
          <w:sz w:val="32"/>
          <w:szCs w:val="32"/>
          <w:lang w:val="en-US" w:eastAsia="zh-CN"/>
        </w:rPr>
        <w:t>年相比，</w:t>
      </w:r>
      <w:r>
        <w:rPr>
          <w:rFonts w:hint="eastAsia" w:eastAsia="仿宋" w:cs="Times New Roman"/>
          <w:color w:val="000000"/>
          <w:sz w:val="32"/>
          <w:szCs w:val="32"/>
          <w:lang w:val="en-US" w:eastAsia="zh-CN"/>
        </w:rPr>
        <w:t>增加11.33</w:t>
      </w:r>
      <w:r>
        <w:rPr>
          <w:rFonts w:hint="eastAsia" w:ascii="Times New Roman" w:hAnsi="Times New Roman" w:eastAsia="仿宋" w:cs="Times New Roman"/>
          <w:color w:val="000000"/>
          <w:sz w:val="32"/>
          <w:szCs w:val="32"/>
          <w:lang w:val="en-US" w:eastAsia="zh-CN"/>
        </w:rPr>
        <w:t>万元，同比</w:t>
      </w:r>
      <w:r>
        <w:rPr>
          <w:rFonts w:hint="eastAsia" w:eastAsia="仿宋" w:cs="Times New Roman"/>
          <w:color w:val="000000"/>
          <w:sz w:val="32"/>
          <w:szCs w:val="32"/>
          <w:lang w:val="en-US" w:eastAsia="zh-CN"/>
        </w:rPr>
        <w:t>上升2.68</w:t>
      </w:r>
      <w:r>
        <w:rPr>
          <w:rFonts w:hint="eastAsia" w:ascii="Times New Roman" w:hAnsi="Times New Roman" w:eastAsia="仿宋" w:cs="Times New Roman"/>
          <w:color w:val="000000"/>
          <w:sz w:val="32"/>
          <w:szCs w:val="32"/>
          <w:lang w:val="en-US" w:eastAsia="zh-CN"/>
        </w:rPr>
        <w:t>%。主要变动原因是：</w:t>
      </w:r>
      <w:r>
        <w:rPr>
          <w:rFonts w:hint="eastAsia" w:eastAsia="仿宋" w:cs="Times New Roman"/>
          <w:color w:val="000000"/>
          <w:sz w:val="32"/>
          <w:szCs w:val="32"/>
          <w:lang w:val="en-US" w:eastAsia="zh-CN"/>
        </w:rPr>
        <w:t>大力开展公共资源交易业务，大力进行市场化配置服务</w:t>
      </w:r>
      <w:r>
        <w:rPr>
          <w:rFonts w:hint="eastAsia" w:ascii="Times New Roman" w:hAnsi="Times New Roman" w:eastAsia="仿宋" w:cs="Times New Roman"/>
          <w:color w:val="000000"/>
          <w:sz w:val="32"/>
          <w:szCs w:val="32"/>
          <w:lang w:val="en-US" w:eastAsia="zh-CN"/>
        </w:rPr>
        <w:t>。</w:t>
      </w:r>
      <w:bookmarkStart w:id="38" w:name="_Toc15377206"/>
      <w:bookmarkStart w:id="39" w:name="_Toc15396604"/>
    </w:p>
    <w:p>
      <w:pPr>
        <w:pStyle w:val="10"/>
        <w:jc w:val="center"/>
        <w:rPr>
          <w:rFonts w:hint="eastAsia"/>
          <w:lang w:val="en-US" w:eastAsia="zh-CN"/>
        </w:rPr>
      </w:pPr>
      <w:r>
        <w:drawing>
          <wp:inline distT="0" distB="0" distL="114300" distR="114300">
            <wp:extent cx="4629150" cy="28003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629150" cy="2800350"/>
                    </a:xfrm>
                    <a:prstGeom prst="rect">
                      <a:avLst/>
                    </a:prstGeom>
                    <a:noFill/>
                    <a:ln>
                      <a:noFill/>
                    </a:ln>
                  </pic:spPr>
                </pic:pic>
              </a:graphicData>
            </a:graphic>
          </wp:inline>
        </w:drawing>
      </w:r>
    </w:p>
    <w:p>
      <w:pPr>
        <w:pStyle w:val="10"/>
        <w:rPr>
          <w:rFonts w:hint="eastAsia"/>
          <w:lang w:val="en-US" w:eastAsia="zh-CN"/>
        </w:rPr>
      </w:pPr>
    </w:p>
    <w:p>
      <w:pPr>
        <w:keepNext w:val="0"/>
        <w:keepLines w:val="0"/>
        <w:pageBreakBefore w:val="0"/>
        <w:widowControl w:val="0"/>
        <w:kinsoku/>
        <w:wordWrap/>
        <w:overflowPunct/>
        <w:topLinePunct w:val="0"/>
        <w:autoSpaceDE/>
        <w:autoSpaceDN/>
        <w:bidi w:val="0"/>
        <w:adjustRightInd/>
        <w:spacing w:line="578" w:lineRule="exact"/>
        <w:ind w:firstLine="640" w:firstLineChars="200"/>
        <w:jc w:val="center"/>
        <w:textAlignment w:val="auto"/>
        <w:rPr>
          <w:rFonts w:hint="eastAsia"/>
          <w:color w:val="000000" w:themeColor="text1"/>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p>
    <w:p>
      <w:pPr>
        <w:pStyle w:val="10"/>
        <w:keepNext w:val="0"/>
        <w:keepLines w:val="0"/>
        <w:pageBreakBefore w:val="0"/>
        <w:widowControl w:val="0"/>
        <w:kinsoku/>
        <w:wordWrap/>
        <w:overflowPunct/>
        <w:topLinePunct w:val="0"/>
        <w:autoSpaceDE/>
        <w:autoSpaceDN/>
        <w:bidi w:val="0"/>
        <w:adjustRightInd/>
        <w:spacing w:line="578" w:lineRule="exact"/>
        <w:textAlignment w:val="auto"/>
        <w:rPr>
          <w:rFonts w:hint="eastAsia"/>
          <w:lang w:val="en-US" w:eastAsia="zh-CN"/>
        </w:rPr>
      </w:pPr>
    </w:p>
    <w:p>
      <w:pPr>
        <w:pStyle w:val="31"/>
        <w:keepNext w:val="0"/>
        <w:keepLines w:val="0"/>
        <w:pageBreakBefore w:val="0"/>
        <w:widowControl w:val="0"/>
        <w:kinsoku/>
        <w:wordWrap/>
        <w:overflowPunct/>
        <w:topLinePunct w:val="0"/>
        <w:autoSpaceDE/>
        <w:autoSpaceDN/>
        <w:bidi w:val="0"/>
        <w:adjustRightInd/>
        <w:spacing w:line="578" w:lineRule="exact"/>
        <w:ind w:left="-720" w:firstLine="1280" w:firstLineChars="400"/>
        <w:textAlignment w:val="auto"/>
        <w:outlineLvl w:val="1"/>
        <w:rPr>
          <w:rStyle w:val="40"/>
          <w:rFonts w:ascii="Times New Roman" w:hAnsi="Times New Roman" w:eastAsia="黑体"/>
          <w:b w:val="0"/>
        </w:rPr>
      </w:pPr>
      <w:bookmarkStart w:id="40" w:name="_Toc29720"/>
      <w:r>
        <w:rPr>
          <w:rFonts w:eastAsia="黑体"/>
          <w:color w:val="000000"/>
          <w:sz w:val="32"/>
          <w:szCs w:val="32"/>
        </w:rPr>
        <w:t>二、收</w:t>
      </w:r>
      <w:r>
        <w:rPr>
          <w:rStyle w:val="40"/>
          <w:rFonts w:ascii="Times New Roman" w:hAnsi="Times New Roman" w:eastAsia="黑体"/>
          <w:b w:val="0"/>
        </w:rPr>
        <w:t>入决算情况说明</w:t>
      </w:r>
      <w:bookmarkEnd w:id="38"/>
      <w:bookmarkEnd w:id="39"/>
      <w:bookmarkEnd w:id="40"/>
    </w:p>
    <w:p>
      <w:pPr>
        <w:keepNext w:val="0"/>
        <w:keepLines w:val="0"/>
        <w:pageBreakBefore w:val="0"/>
        <w:widowControl w:val="0"/>
        <w:kinsoku/>
        <w:wordWrap/>
        <w:overflowPunct/>
        <w:topLinePunct w:val="0"/>
        <w:autoSpaceDE/>
        <w:autoSpaceDN/>
        <w:bidi w:val="0"/>
        <w:adjustRightInd/>
        <w:spacing w:line="578" w:lineRule="exact"/>
        <w:ind w:firstLine="640"/>
        <w:contextualSpacing/>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202</w:t>
      </w:r>
      <w:r>
        <w:rPr>
          <w:rFonts w:hint="eastAsia" w:eastAsia="仿宋" w:cs="Times New Roman"/>
          <w:color w:val="000000"/>
          <w:sz w:val="32"/>
          <w:szCs w:val="32"/>
          <w:lang w:val="en-US" w:eastAsia="zh-CN"/>
        </w:rPr>
        <w:t>1</w:t>
      </w:r>
      <w:r>
        <w:rPr>
          <w:rFonts w:hint="eastAsia" w:ascii="Times New Roman" w:hAnsi="Times New Roman" w:eastAsia="仿宋" w:cs="Times New Roman"/>
          <w:color w:val="000000"/>
          <w:sz w:val="32"/>
          <w:szCs w:val="32"/>
          <w:lang w:val="en-US" w:eastAsia="zh-CN"/>
        </w:rPr>
        <w:t>年本年收入合计</w:t>
      </w:r>
      <w:r>
        <w:rPr>
          <w:rFonts w:hint="eastAsia" w:eastAsia="仿宋" w:cs="Times New Roman"/>
          <w:color w:val="000000"/>
          <w:sz w:val="32"/>
          <w:szCs w:val="32"/>
          <w:lang w:val="en-US" w:eastAsia="zh-CN"/>
        </w:rPr>
        <w:t>434.53</w:t>
      </w:r>
      <w:r>
        <w:rPr>
          <w:rFonts w:hint="eastAsia"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，其中：一般公共预算财政拨款收入</w:t>
      </w:r>
      <w:r>
        <w:rPr>
          <w:rFonts w:hint="eastAsia" w:eastAsia="仿宋" w:cs="Times New Roman"/>
          <w:color w:val="000000" w:themeColor="text1"/>
          <w:sz w:val="32"/>
          <w:szCs w:val="32"/>
          <w:lang w:val="en-US" w:eastAsia="zh-CN"/>
          <w14:textFill>
            <w14:solidFill>
              <w14:schemeClr w14:val="tx1"/>
            </w14:solidFill>
          </w14:textFill>
        </w:rPr>
        <w:t>335.4</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77.19</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w:t>
      </w:r>
      <w:r>
        <w:rPr>
          <w:rFonts w:hint="eastAsia" w:eastAsia="仿宋" w:cs="Times New Roman"/>
          <w:color w:val="000000" w:themeColor="text1"/>
          <w:sz w:val="32"/>
          <w:szCs w:val="32"/>
          <w:lang w:val="en-US" w:eastAsia="zh-CN"/>
          <w14:textFill>
            <w14:solidFill>
              <w14:schemeClr w14:val="tx1"/>
            </w14:solidFill>
          </w14:textFill>
        </w:rPr>
        <w:t>，年初结转结余</w:t>
      </w:r>
      <w:r>
        <w:rPr>
          <w:rFonts w:hint="eastAsia" w:eastAsia="仿宋" w:cs="Times New Roman"/>
          <w:color w:val="000000"/>
          <w:sz w:val="32"/>
          <w:szCs w:val="32"/>
          <w:lang w:val="en-US" w:eastAsia="zh-CN"/>
        </w:rPr>
        <w:t>99.13万元，占22.81%</w:t>
      </w:r>
      <w:r>
        <w:rPr>
          <w:rFonts w:hint="eastAsia" w:ascii="Times New Roman" w:hAnsi="Times New Roman" w:eastAsia="仿宋"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pacing w:line="578" w:lineRule="exact"/>
        <w:ind w:firstLine="640"/>
        <w:contextualSpacing/>
        <w:textAlignment w:val="auto"/>
        <w:rPr>
          <w:rFonts w:hint="eastAsia" w:ascii="Times New Roman" w:hAnsi="Times New Roman" w:eastAsia="仿宋" w:cs="Times New Roman"/>
          <w:color w:val="000000"/>
          <w:sz w:val="32"/>
          <w:szCs w:val="32"/>
          <w:lang w:val="en-US" w:eastAsia="zh-CN"/>
        </w:rPr>
      </w:pPr>
    </w:p>
    <w:p>
      <w:pPr>
        <w:pStyle w:val="10"/>
        <w:jc w:val="center"/>
        <w:rPr>
          <w:rFonts w:hint="eastAsia" w:ascii="Times New Roman" w:hAnsi="Times New Roman" w:eastAsia="仿宋" w:cs="Times New Roman"/>
          <w:color w:val="000000"/>
          <w:sz w:val="32"/>
          <w:szCs w:val="32"/>
          <w:lang w:val="en-US" w:eastAsia="zh-CN"/>
        </w:rPr>
      </w:pPr>
      <w:r>
        <w:drawing>
          <wp:inline distT="0" distB="0" distL="114300" distR="114300">
            <wp:extent cx="4876800" cy="3181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876800" cy="3181350"/>
                    </a:xfrm>
                    <a:prstGeom prst="rect">
                      <a:avLst/>
                    </a:prstGeom>
                    <a:noFill/>
                    <a:ln>
                      <a:noFill/>
                    </a:ln>
                  </pic:spPr>
                </pic:pic>
              </a:graphicData>
            </a:graphic>
          </wp:inline>
        </w:drawing>
      </w:r>
    </w:p>
    <w:p>
      <w:pPr>
        <w:pStyle w:val="10"/>
        <w:jc w:val="center"/>
        <w:rPr>
          <w:rFonts w:hint="eastAsia"/>
          <w:color w:val="000000" w:themeColor="text1"/>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：收入决算结构图）</w:t>
      </w:r>
    </w:p>
    <w:p>
      <w:pPr>
        <w:pStyle w:val="31"/>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1"/>
        <w:rPr>
          <w:rStyle w:val="40"/>
          <w:rFonts w:ascii="Times New Roman" w:hAnsi="Times New Roman" w:eastAsia="黑体"/>
          <w:b w:val="0"/>
        </w:rPr>
      </w:pPr>
      <w:bookmarkStart w:id="41" w:name="_Toc15377207"/>
      <w:bookmarkStart w:id="42" w:name="_Toc5160"/>
      <w:bookmarkStart w:id="43" w:name="_Toc15396605"/>
      <w:r>
        <w:rPr>
          <w:rFonts w:eastAsia="黑体"/>
          <w:color w:val="000000"/>
          <w:sz w:val="32"/>
          <w:szCs w:val="32"/>
        </w:rPr>
        <w:t>三、支</w:t>
      </w:r>
      <w:r>
        <w:rPr>
          <w:rStyle w:val="40"/>
          <w:rFonts w:ascii="Times New Roman" w:hAnsi="Times New Roman" w:eastAsia="黑体"/>
          <w:b w:val="0"/>
        </w:rPr>
        <w:t>出决算情况说明</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78" w:lineRule="exact"/>
        <w:ind w:firstLine="640"/>
        <w:contextualSpacing/>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202</w:t>
      </w:r>
      <w:r>
        <w:rPr>
          <w:rFonts w:hint="eastAsia" w:eastAsia="仿宋" w:cs="Times New Roman"/>
          <w:color w:val="000000"/>
          <w:sz w:val="32"/>
          <w:szCs w:val="32"/>
          <w:lang w:val="en-US" w:eastAsia="zh-CN"/>
        </w:rPr>
        <w:t>1</w:t>
      </w:r>
      <w:r>
        <w:rPr>
          <w:rFonts w:hint="eastAsia" w:ascii="Times New Roman" w:hAnsi="Times New Roman" w:eastAsia="仿宋" w:cs="Times New Roman"/>
          <w:color w:val="000000"/>
          <w:sz w:val="32"/>
          <w:szCs w:val="32"/>
          <w:lang w:val="en-US" w:eastAsia="zh-CN"/>
        </w:rPr>
        <w:t>年本年支出合计</w:t>
      </w:r>
      <w:r>
        <w:rPr>
          <w:rFonts w:hint="eastAsia" w:eastAsia="仿宋" w:cs="Times New Roman"/>
          <w:color w:val="000000"/>
          <w:sz w:val="32"/>
          <w:szCs w:val="32"/>
          <w:lang w:val="en-US" w:eastAsia="zh-CN"/>
        </w:rPr>
        <w:t>434.53</w:t>
      </w:r>
      <w:r>
        <w:rPr>
          <w:rFonts w:hint="eastAsia" w:ascii="Times New Roman" w:hAnsi="Times New Roman" w:eastAsia="仿宋" w:cs="Times New Roman"/>
          <w:color w:val="000000"/>
          <w:sz w:val="32"/>
          <w:szCs w:val="32"/>
          <w:lang w:val="en-US" w:eastAsia="zh-CN"/>
        </w:rPr>
        <w:t>万元，其中：基本支出</w:t>
      </w:r>
      <w:r>
        <w:rPr>
          <w:rFonts w:hint="eastAsia" w:eastAsia="仿宋" w:cs="Times New Roman"/>
          <w:color w:val="000000"/>
          <w:sz w:val="32"/>
          <w:szCs w:val="32"/>
          <w:lang w:val="en-US" w:eastAsia="zh-CN"/>
        </w:rPr>
        <w:t>286.77</w:t>
      </w:r>
      <w:r>
        <w:rPr>
          <w:rFonts w:hint="eastAsia" w:ascii="Times New Roman" w:hAnsi="Times New Roman" w:eastAsia="仿宋" w:cs="Times New Roman"/>
          <w:color w:val="000000"/>
          <w:sz w:val="32"/>
          <w:szCs w:val="32"/>
          <w:lang w:val="en-US" w:eastAsia="zh-CN"/>
        </w:rPr>
        <w:t>万元，占6</w:t>
      </w:r>
      <w:r>
        <w:rPr>
          <w:rFonts w:hint="eastAsia" w:eastAsia="仿宋" w:cs="Times New Roman"/>
          <w:color w:val="000000"/>
          <w:sz w:val="32"/>
          <w:szCs w:val="32"/>
          <w:lang w:val="en-US" w:eastAsia="zh-CN"/>
        </w:rPr>
        <w:t>6.00</w:t>
      </w:r>
      <w:r>
        <w:rPr>
          <w:rFonts w:hint="eastAsia" w:ascii="Times New Roman" w:hAnsi="Times New Roman" w:eastAsia="仿宋" w:cs="Times New Roman"/>
          <w:color w:val="000000"/>
          <w:sz w:val="32"/>
          <w:szCs w:val="32"/>
          <w:lang w:val="en-US" w:eastAsia="zh-CN"/>
        </w:rPr>
        <w:t>%；项目支出</w:t>
      </w:r>
      <w:r>
        <w:rPr>
          <w:rFonts w:hint="eastAsia" w:eastAsia="仿宋" w:cs="Times New Roman"/>
          <w:color w:val="000000"/>
          <w:sz w:val="32"/>
          <w:szCs w:val="32"/>
          <w:lang w:val="en-US" w:eastAsia="zh-CN"/>
        </w:rPr>
        <w:t>147.76</w:t>
      </w:r>
      <w:r>
        <w:rPr>
          <w:rFonts w:hint="eastAsia" w:ascii="Times New Roman" w:hAnsi="Times New Roman" w:eastAsia="仿宋" w:cs="Times New Roman"/>
          <w:color w:val="000000"/>
          <w:sz w:val="32"/>
          <w:szCs w:val="32"/>
          <w:lang w:val="en-US" w:eastAsia="zh-CN"/>
        </w:rPr>
        <w:t>万元，占</w:t>
      </w:r>
      <w:r>
        <w:rPr>
          <w:rFonts w:hint="eastAsia" w:eastAsia="仿宋" w:cs="Times New Roman"/>
          <w:color w:val="000000"/>
          <w:sz w:val="32"/>
          <w:szCs w:val="32"/>
          <w:lang w:val="en-US" w:eastAsia="zh-CN"/>
        </w:rPr>
        <w:t>34.00</w:t>
      </w:r>
      <w:r>
        <w:rPr>
          <w:rFonts w:hint="eastAsia" w:ascii="Times New Roman" w:hAnsi="Times New Roman" w:eastAsia="仿宋" w:cs="Times New Roman"/>
          <w:color w:val="000000"/>
          <w:sz w:val="32"/>
          <w:szCs w:val="32"/>
          <w:lang w:val="en-US" w:eastAsia="zh-CN"/>
        </w:rPr>
        <w:t>%。</w:t>
      </w:r>
    </w:p>
    <w:p>
      <w:pPr>
        <w:pStyle w:val="10"/>
        <w:jc w:val="center"/>
        <w:rPr>
          <w:rFonts w:hint="eastAsia" w:ascii="Times New Roman" w:hAnsi="Times New Roman" w:eastAsia="仿宋" w:cs="Times New Roman"/>
          <w:color w:val="000000"/>
          <w:sz w:val="32"/>
          <w:szCs w:val="32"/>
          <w:lang w:val="en-US" w:eastAsia="zh-CN"/>
        </w:rPr>
      </w:pPr>
      <w:r>
        <w:drawing>
          <wp:inline distT="0" distB="0" distL="114300" distR="114300">
            <wp:extent cx="4876800" cy="31623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9"/>
                    <a:stretch>
                      <a:fillRect/>
                    </a:stretch>
                  </pic:blipFill>
                  <pic:spPr>
                    <a:xfrm>
                      <a:off x="0" y="0"/>
                      <a:ext cx="4876800" cy="3162300"/>
                    </a:xfrm>
                    <a:prstGeom prst="rect">
                      <a:avLst/>
                    </a:prstGeom>
                    <a:noFill/>
                    <a:ln>
                      <a:noFill/>
                    </a:ln>
                  </pic:spPr>
                </pic:pic>
              </a:graphicData>
            </a:graphic>
          </wp:inline>
        </w:drawing>
      </w:r>
    </w:p>
    <w:p>
      <w:pPr>
        <w:pStyle w:val="10"/>
        <w:keepNext w:val="0"/>
        <w:keepLines w:val="0"/>
        <w:pageBreakBefore w:val="0"/>
        <w:widowControl w:val="0"/>
        <w:kinsoku/>
        <w:wordWrap/>
        <w:overflowPunct/>
        <w:topLinePunct w:val="0"/>
        <w:autoSpaceDE/>
        <w:autoSpaceDN/>
        <w:bidi w:val="0"/>
        <w:adjustRightInd/>
        <w:spacing w:line="578" w:lineRule="exact"/>
        <w:ind w:firstLine="2560" w:firstLineChars="800"/>
        <w:jc w:val="both"/>
        <w:textAlignment w:val="auto"/>
        <w:rPr>
          <w:rFonts w:hint="eastAsia"/>
          <w:color w:val="000000" w:themeColor="text1"/>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：支出决算结构图）</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outlineLvl w:val="1"/>
        <w:rPr>
          <w:rStyle w:val="40"/>
          <w:rFonts w:ascii="Times New Roman" w:hAnsi="Times New Roman" w:eastAsia="黑体"/>
          <w:b w:val="0"/>
        </w:rPr>
      </w:pPr>
      <w:bookmarkStart w:id="44" w:name="_Toc15377208"/>
      <w:bookmarkStart w:id="45" w:name="_Toc15396606"/>
      <w:bookmarkStart w:id="46" w:name="_Toc639"/>
      <w:r>
        <w:rPr>
          <w:rFonts w:eastAsia="黑体"/>
          <w:color w:val="000000"/>
          <w:sz w:val="32"/>
          <w:szCs w:val="32"/>
        </w:rPr>
        <w:t>四、财</w:t>
      </w:r>
      <w:r>
        <w:rPr>
          <w:rStyle w:val="40"/>
          <w:rFonts w:ascii="Times New Roman" w:hAnsi="Times New Roman" w:eastAsia="黑体"/>
          <w:b w:val="0"/>
        </w:rPr>
        <w:t>政拨款收入支出决算总体情况说明</w:t>
      </w:r>
      <w:bookmarkEnd w:id="44"/>
      <w:bookmarkEnd w:id="45"/>
      <w:bookmarkEnd w:id="46"/>
    </w:p>
    <w:p>
      <w:pPr>
        <w:keepNext w:val="0"/>
        <w:keepLines w:val="0"/>
        <w:pageBreakBefore w:val="0"/>
        <w:widowControl w:val="0"/>
        <w:kinsoku/>
        <w:wordWrap/>
        <w:overflowPunct/>
        <w:topLinePunct w:val="0"/>
        <w:autoSpaceDE/>
        <w:autoSpaceDN/>
        <w:bidi w:val="0"/>
        <w:adjustRightInd/>
        <w:spacing w:line="578" w:lineRule="exact"/>
        <w:ind w:firstLine="640"/>
        <w:contextualSpacing/>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202</w:t>
      </w:r>
      <w:r>
        <w:rPr>
          <w:rFonts w:hint="eastAsia" w:eastAsia="仿宋" w:cs="Times New Roman"/>
          <w:color w:val="000000"/>
          <w:sz w:val="32"/>
          <w:szCs w:val="32"/>
          <w:lang w:val="en-US" w:eastAsia="zh-CN"/>
        </w:rPr>
        <w:t>1</w:t>
      </w:r>
      <w:r>
        <w:rPr>
          <w:rFonts w:hint="eastAsia" w:ascii="Times New Roman" w:hAnsi="Times New Roman" w:eastAsia="仿宋" w:cs="Times New Roman"/>
          <w:color w:val="000000"/>
          <w:sz w:val="32"/>
          <w:szCs w:val="32"/>
          <w:lang w:val="en-US" w:eastAsia="zh-CN"/>
        </w:rPr>
        <w:t>年财政拨款收、支总计</w:t>
      </w:r>
      <w:r>
        <w:rPr>
          <w:rFonts w:hint="eastAsia" w:eastAsia="仿宋" w:cs="Times New Roman"/>
          <w:color w:val="000000"/>
          <w:sz w:val="32"/>
          <w:szCs w:val="32"/>
          <w:lang w:val="en-US" w:eastAsia="zh-CN"/>
        </w:rPr>
        <w:t>434.53</w:t>
      </w:r>
      <w:r>
        <w:rPr>
          <w:rFonts w:hint="eastAsia" w:ascii="Times New Roman" w:hAnsi="Times New Roman" w:eastAsia="仿宋" w:cs="Times New Roman"/>
          <w:color w:val="000000"/>
          <w:sz w:val="32"/>
          <w:szCs w:val="32"/>
          <w:lang w:val="en-US" w:eastAsia="zh-CN"/>
        </w:rPr>
        <w:t>万元。与20</w:t>
      </w:r>
      <w:r>
        <w:rPr>
          <w:rFonts w:hint="eastAsia" w:eastAsia="仿宋" w:cs="Times New Roman"/>
          <w:color w:val="000000"/>
          <w:sz w:val="32"/>
          <w:szCs w:val="32"/>
          <w:lang w:val="en-US" w:eastAsia="zh-CN"/>
        </w:rPr>
        <w:t>20</w:t>
      </w:r>
      <w:r>
        <w:rPr>
          <w:rFonts w:hint="eastAsia" w:ascii="Times New Roman" w:hAnsi="Times New Roman" w:eastAsia="仿宋" w:cs="Times New Roman"/>
          <w:color w:val="000000"/>
          <w:sz w:val="32"/>
          <w:szCs w:val="32"/>
          <w:lang w:val="en-US" w:eastAsia="zh-CN"/>
        </w:rPr>
        <w:t>年相比</w:t>
      </w:r>
      <w:r>
        <w:rPr>
          <w:rFonts w:hint="eastAsia" w:eastAsia="仿宋" w:cs="Times New Roman"/>
          <w:color w:val="000000"/>
          <w:sz w:val="32"/>
          <w:szCs w:val="32"/>
          <w:lang w:val="en-US" w:eastAsia="zh-CN"/>
        </w:rPr>
        <w:t>增加11.33</w:t>
      </w:r>
      <w:r>
        <w:rPr>
          <w:rFonts w:hint="eastAsia" w:ascii="Times New Roman" w:hAnsi="Times New Roman" w:eastAsia="仿宋" w:cs="Times New Roman"/>
          <w:color w:val="000000"/>
          <w:sz w:val="32"/>
          <w:szCs w:val="32"/>
          <w:lang w:val="en-US" w:eastAsia="zh-CN"/>
        </w:rPr>
        <w:t>万元，</w:t>
      </w:r>
      <w:r>
        <w:rPr>
          <w:rFonts w:hint="eastAsia" w:eastAsia="仿宋" w:cs="Times New Roman"/>
          <w:color w:val="000000"/>
          <w:sz w:val="32"/>
          <w:szCs w:val="32"/>
          <w:lang w:val="en-US" w:eastAsia="zh-CN"/>
        </w:rPr>
        <w:t>上升2.68</w:t>
      </w:r>
      <w:r>
        <w:rPr>
          <w:rFonts w:hint="eastAsia" w:ascii="Times New Roman" w:hAnsi="Times New Roman" w:eastAsia="仿宋" w:cs="Times New Roman"/>
          <w:color w:val="000000"/>
          <w:sz w:val="32"/>
          <w:szCs w:val="32"/>
          <w:lang w:val="en-US" w:eastAsia="zh-CN"/>
        </w:rPr>
        <w:t>%。主要变动原因是：</w:t>
      </w:r>
      <w:r>
        <w:rPr>
          <w:rFonts w:hint="eastAsia" w:eastAsia="仿宋" w:cs="Times New Roman"/>
          <w:color w:val="000000"/>
          <w:sz w:val="32"/>
          <w:szCs w:val="32"/>
          <w:lang w:val="en-US" w:eastAsia="zh-CN"/>
        </w:rPr>
        <w:t>大力开展公共资源交易业务，大力进行市场化配置服务</w:t>
      </w:r>
      <w:r>
        <w:rPr>
          <w:rFonts w:hint="eastAsia" w:ascii="Times New Roman" w:hAnsi="Times New Roman" w:eastAsia="仿宋" w:cs="Times New Roman"/>
          <w:color w:val="000000"/>
          <w:sz w:val="32"/>
          <w:szCs w:val="32"/>
          <w:lang w:val="en-US" w:eastAsia="zh-CN"/>
        </w:rPr>
        <w:t>。</w:t>
      </w:r>
    </w:p>
    <w:p>
      <w:pPr>
        <w:ind w:firstLine="640"/>
        <w:contextualSpacing/>
        <w:rPr>
          <w:rFonts w:hint="eastAsia" w:ascii="Times New Roman" w:hAnsi="Times New Roman" w:eastAsia="仿宋" w:cs="Times New Roman"/>
          <w:color w:val="000000"/>
          <w:sz w:val="32"/>
          <w:szCs w:val="32"/>
          <w:lang w:val="en-US" w:eastAsia="zh-CN"/>
        </w:rPr>
      </w:pPr>
    </w:p>
    <w:p>
      <w:pPr>
        <w:pStyle w:val="10"/>
        <w:jc w:val="center"/>
        <w:rPr>
          <w:rFonts w:hint="eastAsia"/>
          <w:lang w:val="en-US" w:eastAsia="zh-CN"/>
        </w:rPr>
      </w:pPr>
      <w:r>
        <w:drawing>
          <wp:inline distT="0" distB="0" distL="114300" distR="114300">
            <wp:extent cx="4619625" cy="27908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619625" cy="27908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pacing w:line="578" w:lineRule="exact"/>
        <w:ind w:firstLine="640" w:firstLineChars="200"/>
        <w:jc w:val="center"/>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：财政拨款收、支决算总计变动情况）</w:t>
      </w:r>
    </w:p>
    <w:p>
      <w:pPr>
        <w:pStyle w:val="10"/>
        <w:keepNext w:val="0"/>
        <w:keepLines w:val="0"/>
        <w:pageBreakBefore w:val="0"/>
        <w:widowControl w:val="0"/>
        <w:kinsoku/>
        <w:wordWrap/>
        <w:overflowPunct/>
        <w:topLinePunct w:val="0"/>
        <w:autoSpaceDE/>
        <w:autoSpaceDN/>
        <w:bidi w:val="0"/>
        <w:adjustRightInd/>
        <w:spacing w:line="578" w:lineRule="exact"/>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outlineLvl w:val="1"/>
        <w:rPr>
          <w:rStyle w:val="40"/>
          <w:rFonts w:ascii="Times New Roman" w:hAnsi="Times New Roman" w:eastAsia="黑体"/>
          <w:b w:val="0"/>
        </w:rPr>
      </w:pPr>
      <w:bookmarkStart w:id="47" w:name="_Toc15377209"/>
      <w:bookmarkStart w:id="48" w:name="_Toc28946"/>
      <w:bookmarkStart w:id="49" w:name="_Toc15396607"/>
      <w:r>
        <w:rPr>
          <w:rFonts w:eastAsia="黑体"/>
          <w:color w:val="000000"/>
          <w:sz w:val="32"/>
          <w:szCs w:val="32"/>
        </w:rPr>
        <w:t>五、</w:t>
      </w:r>
      <w:r>
        <w:rPr>
          <w:rFonts w:eastAsia="黑体"/>
          <w:b/>
          <w:color w:val="000000"/>
          <w:sz w:val="32"/>
          <w:szCs w:val="32"/>
        </w:rPr>
        <w:t>一</w:t>
      </w:r>
      <w:r>
        <w:rPr>
          <w:rStyle w:val="40"/>
          <w:rFonts w:ascii="Times New Roman" w:hAnsi="Times New Roman" w:eastAsia="黑体"/>
          <w:b w:val="0"/>
        </w:rPr>
        <w:t>般公共预算财政拨款支出决算情况说明</w:t>
      </w:r>
      <w:bookmarkEnd w:id="47"/>
      <w:bookmarkEnd w:id="48"/>
      <w:bookmarkEnd w:id="49"/>
    </w:p>
    <w:p>
      <w:pPr>
        <w:pageBreakBefore w:val="0"/>
        <w:kinsoku/>
        <w:wordWrap/>
        <w:overflowPunct/>
        <w:topLinePunct w:val="0"/>
        <w:bidi w:val="0"/>
        <w:snapToGrid/>
        <w:spacing w:line="578" w:lineRule="exact"/>
        <w:ind w:firstLine="640" w:firstLineChars="200"/>
        <w:textAlignment w:val="auto"/>
        <w:rPr>
          <w:rFonts w:hint="eastAsia" w:ascii="Times New Roman" w:hAnsi="Times New Roman" w:eastAsia="楷体_GB2312" w:cs="Times New Roman"/>
          <w:kern w:val="0"/>
          <w:sz w:val="32"/>
          <w:szCs w:val="32"/>
          <w:shd w:val="clear" w:color="auto" w:fill="FFFFFF"/>
          <w:lang w:val="en-US" w:eastAsia="zh-CN" w:bidi="ar-SA"/>
        </w:rPr>
      </w:pPr>
      <w:bookmarkStart w:id="50" w:name="_Toc15377210"/>
      <w:r>
        <w:rPr>
          <w:rFonts w:hint="eastAsia" w:ascii="Times New Roman" w:hAnsi="Times New Roman" w:eastAsia="楷体_GB2312" w:cs="Times New Roman"/>
          <w:kern w:val="0"/>
          <w:sz w:val="32"/>
          <w:szCs w:val="32"/>
          <w:shd w:val="clear" w:color="auto" w:fill="FFFFFF"/>
          <w:lang w:val="en-US" w:eastAsia="zh-CN" w:bidi="ar-SA"/>
        </w:rPr>
        <w:t>（一）一般公共预算财政拨款支出决算总体情况</w:t>
      </w:r>
      <w:bookmarkEnd w:id="50"/>
    </w:p>
    <w:p>
      <w:pPr>
        <w:keepNext w:val="0"/>
        <w:keepLines w:val="0"/>
        <w:pageBreakBefore w:val="0"/>
        <w:widowControl w:val="0"/>
        <w:kinsoku/>
        <w:wordWrap/>
        <w:overflowPunct/>
        <w:topLinePunct w:val="0"/>
        <w:autoSpaceDE/>
        <w:autoSpaceDN/>
        <w:bidi w:val="0"/>
        <w:adjustRightInd/>
        <w:spacing w:line="578" w:lineRule="exact"/>
        <w:ind w:firstLine="640"/>
        <w:contextualSpacing/>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202</w:t>
      </w:r>
      <w:r>
        <w:rPr>
          <w:rFonts w:hint="eastAsia" w:eastAsia="仿宋" w:cs="Times New Roman"/>
          <w:color w:val="000000"/>
          <w:sz w:val="32"/>
          <w:szCs w:val="32"/>
          <w:lang w:val="en-US" w:eastAsia="zh-CN"/>
        </w:rPr>
        <w:t>1</w:t>
      </w:r>
      <w:r>
        <w:rPr>
          <w:rFonts w:hint="eastAsia" w:ascii="Times New Roman" w:hAnsi="Times New Roman" w:eastAsia="仿宋" w:cs="Times New Roman"/>
          <w:color w:val="000000"/>
          <w:sz w:val="32"/>
          <w:szCs w:val="32"/>
          <w:lang w:val="en-US" w:eastAsia="zh-CN"/>
        </w:rPr>
        <w:t>年一般公共预算财政拨款支出</w:t>
      </w:r>
      <w:r>
        <w:rPr>
          <w:rFonts w:hint="eastAsia" w:eastAsia="仿宋" w:cs="Times New Roman"/>
          <w:color w:val="000000"/>
          <w:sz w:val="32"/>
          <w:szCs w:val="32"/>
          <w:lang w:val="en-US" w:eastAsia="zh-CN"/>
        </w:rPr>
        <w:t>434.53</w:t>
      </w:r>
      <w:r>
        <w:rPr>
          <w:rFonts w:hint="eastAsia" w:ascii="Times New Roman" w:hAnsi="Times New Roman" w:eastAsia="仿宋" w:cs="Times New Roman"/>
          <w:color w:val="000000"/>
          <w:sz w:val="32"/>
          <w:szCs w:val="32"/>
          <w:lang w:val="en-US" w:eastAsia="zh-CN"/>
        </w:rPr>
        <w:t>万元，占本年支出合计的100%。与20</w:t>
      </w:r>
      <w:r>
        <w:rPr>
          <w:rFonts w:hint="eastAsia" w:eastAsia="仿宋" w:cs="Times New Roman"/>
          <w:color w:val="000000"/>
          <w:sz w:val="32"/>
          <w:szCs w:val="32"/>
          <w:lang w:val="en-US" w:eastAsia="zh-CN"/>
        </w:rPr>
        <w:t>20</w:t>
      </w:r>
      <w:r>
        <w:rPr>
          <w:rFonts w:hint="eastAsia" w:ascii="Times New Roman" w:hAnsi="Times New Roman" w:eastAsia="仿宋" w:cs="Times New Roman"/>
          <w:color w:val="000000"/>
          <w:sz w:val="32"/>
          <w:szCs w:val="32"/>
          <w:lang w:val="en-US" w:eastAsia="zh-CN"/>
        </w:rPr>
        <w:t>年相比</w:t>
      </w:r>
      <w:r>
        <w:rPr>
          <w:rFonts w:hint="eastAsia" w:eastAsia="仿宋" w:cs="Times New Roman"/>
          <w:color w:val="000000"/>
          <w:sz w:val="32"/>
          <w:szCs w:val="32"/>
          <w:lang w:val="en-US" w:eastAsia="zh-CN"/>
        </w:rPr>
        <w:t>增加11.33</w:t>
      </w:r>
      <w:r>
        <w:rPr>
          <w:rFonts w:hint="eastAsia" w:ascii="Times New Roman" w:hAnsi="Times New Roman" w:eastAsia="仿宋" w:cs="Times New Roman"/>
          <w:color w:val="000000"/>
          <w:sz w:val="32"/>
          <w:szCs w:val="32"/>
          <w:lang w:val="en-US" w:eastAsia="zh-CN"/>
        </w:rPr>
        <w:t>万元，</w:t>
      </w:r>
      <w:r>
        <w:rPr>
          <w:rFonts w:hint="eastAsia" w:eastAsia="仿宋" w:cs="Times New Roman"/>
          <w:color w:val="000000"/>
          <w:sz w:val="32"/>
          <w:szCs w:val="32"/>
          <w:lang w:val="en-US" w:eastAsia="zh-CN"/>
        </w:rPr>
        <w:t>上升2.68</w:t>
      </w:r>
      <w:r>
        <w:rPr>
          <w:rFonts w:hint="eastAsia" w:ascii="Times New Roman" w:hAnsi="Times New Roman" w:eastAsia="仿宋" w:cs="Times New Roman"/>
          <w:color w:val="000000"/>
          <w:sz w:val="32"/>
          <w:szCs w:val="32"/>
          <w:lang w:val="en-US" w:eastAsia="zh-CN"/>
        </w:rPr>
        <w:t>%。主要变动原因是：</w:t>
      </w:r>
      <w:r>
        <w:rPr>
          <w:rFonts w:hint="eastAsia" w:eastAsia="仿宋" w:cs="Times New Roman"/>
          <w:color w:val="000000"/>
          <w:sz w:val="32"/>
          <w:szCs w:val="32"/>
          <w:lang w:val="en-US" w:eastAsia="zh-CN"/>
        </w:rPr>
        <w:t>大力开展公共资源交易业务，大力进行市场化配置服务</w:t>
      </w:r>
      <w:r>
        <w:rPr>
          <w:rFonts w:hint="eastAsia" w:ascii="Times New Roman" w:hAnsi="Times New Roman" w:eastAsia="仿宋" w:cs="Times New Roman"/>
          <w:color w:val="000000"/>
          <w:sz w:val="32"/>
          <w:szCs w:val="32"/>
          <w:lang w:val="en-US" w:eastAsia="zh-CN"/>
        </w:rPr>
        <w:t>。</w:t>
      </w:r>
    </w:p>
    <w:p>
      <w:pPr>
        <w:spacing w:line="580" w:lineRule="atLeast"/>
        <w:ind w:firstLine="640"/>
        <w:rPr>
          <w:rFonts w:hint="eastAsia" w:eastAsia="仿宋_GB2312"/>
          <w:color w:val="323232"/>
          <w:kern w:val="0"/>
          <w:sz w:val="32"/>
          <w:szCs w:val="32"/>
          <w:lang w:val="en-US" w:eastAsia="zh-CN"/>
        </w:rPr>
      </w:pPr>
    </w:p>
    <w:p>
      <w:pPr>
        <w:spacing w:line="580" w:lineRule="atLeast"/>
        <w:ind w:firstLine="640"/>
        <w:jc w:val="center"/>
        <w:rPr>
          <w:rFonts w:hint="eastAsia" w:ascii="仿宋" w:hAnsi="仿宋" w:eastAsia="仿宋"/>
          <w:color w:val="000000"/>
          <w:sz w:val="32"/>
          <w:szCs w:val="32"/>
        </w:rPr>
      </w:pPr>
      <w:r>
        <w:drawing>
          <wp:inline distT="0" distB="0" distL="114300" distR="114300">
            <wp:extent cx="4610100" cy="27908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4610100" cy="27908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pacing w:line="578" w:lineRule="exact"/>
        <w:ind w:firstLine="640"/>
        <w:jc w:val="center"/>
        <w:textAlignment w:val="auto"/>
        <w:rPr>
          <w:rFonts w:hint="default" w:eastAsia="仿宋"/>
          <w:color w:val="000000"/>
          <w:sz w:val="32"/>
          <w:szCs w:val="32"/>
          <w:lang w:val="en-US"/>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：一般公共预算财政拨款支出决算变动情况）</w:t>
      </w:r>
      <w:r>
        <w:rPr>
          <w:rFonts w:hint="eastAsia" w:ascii="宋体" w:hAnsi="宋体" w:cs="宋体"/>
          <w:b w:val="0"/>
          <w:bCs w:val="0"/>
          <w:color w:val="000000" w:themeColor="text1"/>
          <w:sz w:val="28"/>
          <w:szCs w:val="28"/>
          <w:shd w:val="clear" w:color="auto" w:fill="FFFFFF"/>
          <w:lang w:val="en-US" w:eastAsia="zh-CN"/>
          <w14:textFill>
            <w14:solidFill>
              <w14:schemeClr w14:val="tx1"/>
            </w14:solidFill>
          </w14:textFill>
        </w:rPr>
        <w:t xml:space="preserve">       </w:t>
      </w:r>
      <w:r>
        <w:rPr>
          <w:rFonts w:hint="eastAsia" w:ascii="宋体" w:hAnsi="宋体" w:cs="宋体"/>
          <w:b w:val="0"/>
          <w:bCs w:val="0"/>
          <w:color w:val="000000"/>
          <w:sz w:val="28"/>
          <w:szCs w:val="28"/>
          <w:shd w:val="clear" w:color="auto" w:fill="FFFFFF"/>
          <w:lang w:val="en-US" w:eastAsia="zh-CN"/>
        </w:rPr>
        <w:t xml:space="preserve">                                                                                                                                                                                                                                                                     </w:t>
      </w:r>
    </w:p>
    <w:p>
      <w:pPr>
        <w:pageBreakBefore w:val="0"/>
        <w:kinsoku/>
        <w:wordWrap/>
        <w:overflowPunct/>
        <w:topLinePunct w:val="0"/>
        <w:bidi w:val="0"/>
        <w:snapToGrid/>
        <w:spacing w:line="578" w:lineRule="exact"/>
        <w:ind w:firstLine="640" w:firstLineChars="200"/>
        <w:textAlignment w:val="auto"/>
        <w:rPr>
          <w:rFonts w:hint="eastAsia" w:ascii="Times New Roman" w:hAnsi="Times New Roman" w:eastAsia="楷体_GB2312" w:cs="Times New Roman"/>
          <w:kern w:val="0"/>
          <w:sz w:val="32"/>
          <w:szCs w:val="32"/>
          <w:shd w:val="clear" w:color="auto" w:fill="FFFFFF"/>
          <w:lang w:val="en-US" w:eastAsia="zh-CN" w:bidi="ar-SA"/>
        </w:rPr>
      </w:pPr>
      <w:bookmarkStart w:id="51" w:name="_Toc15377211"/>
      <w:r>
        <w:rPr>
          <w:rFonts w:hint="eastAsia" w:ascii="Times New Roman" w:hAnsi="Times New Roman" w:eastAsia="楷体_GB2312" w:cs="Times New Roman"/>
          <w:kern w:val="0"/>
          <w:sz w:val="32"/>
          <w:szCs w:val="32"/>
          <w:shd w:val="clear" w:color="auto" w:fill="FFFFFF"/>
          <w:lang w:val="en-US" w:eastAsia="zh-CN" w:bidi="ar-SA"/>
        </w:rPr>
        <w:t>（二）一般公共预算财政拨款支出决算结构情况</w:t>
      </w:r>
      <w:bookmarkEnd w:id="51"/>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 w:cs="Times New Roman"/>
          <w:b w:val="0"/>
          <w:bCs/>
          <w:color w:val="323232"/>
          <w:kern w:val="0"/>
          <w:sz w:val="32"/>
          <w:szCs w:val="32"/>
          <w:lang w:val="en-US" w:eastAsia="zh-CN"/>
        </w:rPr>
      </w:pPr>
      <w:r>
        <w:rPr>
          <w:rFonts w:hint="default" w:ascii="Times New Roman" w:hAnsi="Times New Roman" w:eastAsia="仿宋" w:cs="Times New Roman"/>
          <w:b w:val="0"/>
          <w:bCs/>
          <w:color w:val="000000"/>
          <w:sz w:val="32"/>
          <w:szCs w:val="32"/>
          <w:lang w:val="en-US" w:eastAsia="zh-CN"/>
        </w:rPr>
        <w:t>2021年一般公共预算财政拨款支出</w:t>
      </w:r>
      <w:r>
        <w:rPr>
          <w:rFonts w:hint="default" w:ascii="Times New Roman" w:hAnsi="Times New Roman" w:eastAsia="仿宋" w:cs="Times New Roman"/>
          <w:b w:val="0"/>
          <w:bCs/>
          <w:color w:val="323232"/>
          <w:kern w:val="0"/>
          <w:sz w:val="32"/>
          <w:szCs w:val="32"/>
          <w:lang w:val="en-US" w:eastAsia="zh-CN"/>
        </w:rPr>
        <w:t>434.53万元，主要用于以下方面:</w:t>
      </w:r>
      <w:r>
        <w:rPr>
          <w:rFonts w:hint="default" w:ascii="Times New Roman" w:hAnsi="Times New Roman" w:eastAsia="仿宋" w:cs="Times New Roman"/>
          <w:b w:val="0"/>
          <w:bCs/>
          <w:color w:val="000000"/>
          <w:sz w:val="32"/>
          <w:szCs w:val="32"/>
          <w:lang w:val="en-US" w:eastAsia="zh-CN"/>
        </w:rPr>
        <w:t>一般公共服务（类）支出</w:t>
      </w:r>
      <w:r>
        <w:rPr>
          <w:rFonts w:hint="default" w:ascii="Times New Roman" w:hAnsi="Times New Roman" w:eastAsia="仿宋" w:cs="Times New Roman"/>
          <w:b w:val="0"/>
          <w:bCs/>
          <w:color w:val="323232"/>
          <w:kern w:val="0"/>
          <w:sz w:val="32"/>
          <w:szCs w:val="32"/>
          <w:lang w:val="en-US" w:eastAsia="zh-CN"/>
        </w:rPr>
        <w:t>387.78万元，占89.24%；</w:t>
      </w:r>
      <w:r>
        <w:rPr>
          <w:rFonts w:hint="default" w:ascii="Times New Roman" w:hAnsi="Times New Roman" w:eastAsia="仿宋" w:cs="Times New Roman"/>
          <w:b w:val="0"/>
          <w:bCs/>
          <w:color w:val="000000"/>
          <w:sz w:val="32"/>
          <w:szCs w:val="32"/>
          <w:lang w:val="en-US" w:eastAsia="zh-CN"/>
        </w:rPr>
        <w:t>社会保障和就业（类）支出</w:t>
      </w:r>
      <w:r>
        <w:rPr>
          <w:rFonts w:hint="default" w:ascii="Times New Roman" w:hAnsi="Times New Roman" w:eastAsia="仿宋" w:cs="Times New Roman"/>
          <w:b w:val="0"/>
          <w:bCs/>
          <w:color w:val="323232"/>
          <w:kern w:val="0"/>
          <w:sz w:val="32"/>
          <w:szCs w:val="32"/>
          <w:lang w:val="en-US" w:eastAsia="zh-CN"/>
        </w:rPr>
        <w:t xml:space="preserve">19.98万元，占4.60%；                                  </w:t>
      </w:r>
      <w:r>
        <w:rPr>
          <w:rFonts w:hint="default" w:ascii="Times New Roman" w:hAnsi="Times New Roman" w:eastAsia="仿宋" w:cs="Times New Roman"/>
          <w:b w:val="0"/>
          <w:bCs/>
          <w:color w:val="000000"/>
          <w:sz w:val="32"/>
          <w:szCs w:val="32"/>
          <w:lang w:val="en-US" w:eastAsia="zh-CN"/>
        </w:rPr>
        <w:t>卫生健康支出</w:t>
      </w:r>
      <w:r>
        <w:rPr>
          <w:rFonts w:hint="default" w:ascii="Times New Roman" w:hAnsi="Times New Roman" w:eastAsia="仿宋" w:cs="Times New Roman"/>
          <w:b w:val="0"/>
          <w:bCs/>
          <w:color w:val="323232"/>
          <w:kern w:val="0"/>
          <w:sz w:val="32"/>
          <w:szCs w:val="32"/>
          <w:lang w:val="en-US" w:eastAsia="zh-CN"/>
        </w:rPr>
        <w:t>12.82万元，占2.95%；</w:t>
      </w:r>
      <w:r>
        <w:rPr>
          <w:rFonts w:hint="default" w:ascii="Times New Roman" w:hAnsi="Times New Roman" w:eastAsia="仿宋" w:cs="Times New Roman"/>
          <w:b w:val="0"/>
          <w:bCs/>
          <w:color w:val="000000"/>
          <w:sz w:val="32"/>
          <w:szCs w:val="32"/>
          <w:lang w:val="en-US" w:eastAsia="zh-CN"/>
        </w:rPr>
        <w:t>住房保障支出</w:t>
      </w:r>
      <w:r>
        <w:rPr>
          <w:rFonts w:hint="default" w:ascii="Times New Roman" w:hAnsi="Times New Roman" w:eastAsia="仿宋" w:cs="Times New Roman"/>
          <w:b w:val="0"/>
          <w:bCs/>
          <w:color w:val="323232"/>
          <w:kern w:val="0"/>
          <w:sz w:val="32"/>
          <w:szCs w:val="32"/>
          <w:lang w:val="en-US" w:eastAsia="zh-CN"/>
        </w:rPr>
        <w:t xml:space="preserve"> 13.95万元，占3.21%。</w:t>
      </w:r>
    </w:p>
    <w:p>
      <w:pPr>
        <w:pStyle w:val="10"/>
        <w:jc w:val="center"/>
        <w:rPr>
          <w:rFonts w:hint="eastAsia"/>
          <w:lang w:val="en-US" w:eastAsia="zh-CN"/>
        </w:rPr>
      </w:pPr>
      <w:r>
        <w:drawing>
          <wp:inline distT="0" distB="0" distL="114300" distR="114300">
            <wp:extent cx="4619625" cy="27908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a:stretch>
                      <a:fillRect/>
                    </a:stretch>
                  </pic:blipFill>
                  <pic:spPr>
                    <a:xfrm>
                      <a:off x="0" y="0"/>
                      <a:ext cx="4619625" cy="2790825"/>
                    </a:xfrm>
                    <a:prstGeom prst="rect">
                      <a:avLst/>
                    </a:prstGeom>
                    <a:noFill/>
                    <a:ln>
                      <a:noFill/>
                    </a:ln>
                  </pic:spPr>
                </pic:pic>
              </a:graphicData>
            </a:graphic>
          </wp:inline>
        </w:drawing>
      </w:r>
    </w:p>
    <w:p>
      <w:pPr>
        <w:pStyle w:val="10"/>
        <w:rPr>
          <w:rFonts w:hint="eastAsia"/>
          <w:lang w:val="en-US" w:eastAsia="zh-CN"/>
        </w:rPr>
      </w:pPr>
    </w:p>
    <w:p>
      <w:pPr>
        <w:pStyle w:val="10"/>
        <w:keepNext w:val="0"/>
        <w:keepLines w:val="0"/>
        <w:pageBreakBefore w:val="0"/>
        <w:widowControl w:val="0"/>
        <w:kinsoku/>
        <w:wordWrap/>
        <w:overflowPunct/>
        <w:topLinePunct w:val="0"/>
        <w:autoSpaceDE/>
        <w:autoSpaceDN/>
        <w:bidi w:val="0"/>
        <w:adjustRightInd/>
        <w:spacing w:line="578" w:lineRule="exact"/>
        <w:jc w:val="center"/>
        <w:textAlignment w:val="auto"/>
        <w:rPr>
          <w:rFonts w:hint="eastAsia"/>
          <w:color w:val="000000" w:themeColor="text1"/>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：一般公共预算财政拨款支出决算结构）</w:t>
      </w:r>
    </w:p>
    <w:p>
      <w:pPr>
        <w:pageBreakBefore w:val="0"/>
        <w:kinsoku/>
        <w:wordWrap/>
        <w:overflowPunct/>
        <w:topLinePunct w:val="0"/>
        <w:bidi w:val="0"/>
        <w:snapToGrid/>
        <w:spacing w:line="578" w:lineRule="exact"/>
        <w:ind w:firstLine="640" w:firstLineChars="200"/>
        <w:textAlignment w:val="auto"/>
        <w:rPr>
          <w:rFonts w:hint="eastAsia" w:ascii="Times New Roman" w:hAnsi="Times New Roman" w:eastAsia="楷体_GB2312" w:cs="Times New Roman"/>
          <w:kern w:val="0"/>
          <w:sz w:val="32"/>
          <w:szCs w:val="32"/>
          <w:shd w:val="clear" w:color="auto" w:fill="FFFFFF"/>
          <w:lang w:val="en-US" w:eastAsia="zh-CN" w:bidi="ar-SA"/>
        </w:rPr>
      </w:pPr>
      <w:bookmarkStart w:id="52" w:name="_Toc15377212"/>
      <w:r>
        <w:rPr>
          <w:rFonts w:hint="eastAsia" w:ascii="Times New Roman" w:hAnsi="Times New Roman" w:eastAsia="楷体_GB2312" w:cs="Times New Roman"/>
          <w:kern w:val="0"/>
          <w:sz w:val="32"/>
          <w:szCs w:val="32"/>
          <w:shd w:val="clear" w:color="auto" w:fill="FFFFFF"/>
          <w:lang w:val="en-US" w:eastAsia="zh-CN" w:bidi="ar-SA"/>
        </w:rPr>
        <w:t>（三）一般公共预算财政拨款支出决算具体情况</w:t>
      </w:r>
      <w:bookmarkEnd w:id="52"/>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eastAsia="仿宋_GB2312"/>
          <w:color w:val="323232"/>
          <w:kern w:val="0"/>
          <w:sz w:val="32"/>
          <w:szCs w:val="32"/>
        </w:rPr>
      </w:pPr>
      <w:bookmarkStart w:id="53" w:name="_Toc15377444"/>
      <w:bookmarkStart w:id="54" w:name="_Toc15378460"/>
      <w:bookmarkStart w:id="55" w:name="_Toc15377213"/>
      <w:r>
        <w:rPr>
          <w:rFonts w:eastAsia="仿宋_GB2312"/>
          <w:color w:val="323232"/>
          <w:kern w:val="0"/>
          <w:sz w:val="32"/>
          <w:szCs w:val="32"/>
        </w:rPr>
        <w:t>202</w:t>
      </w:r>
      <w:r>
        <w:rPr>
          <w:rFonts w:hint="eastAsia" w:eastAsia="仿宋_GB2312"/>
          <w:color w:val="323232"/>
          <w:kern w:val="0"/>
          <w:sz w:val="32"/>
          <w:szCs w:val="32"/>
          <w:lang w:val="en-US" w:eastAsia="zh-CN"/>
        </w:rPr>
        <w:t>1</w:t>
      </w:r>
      <w:r>
        <w:rPr>
          <w:rFonts w:eastAsia="仿宋_GB2312"/>
          <w:color w:val="323232"/>
          <w:kern w:val="0"/>
          <w:sz w:val="32"/>
          <w:szCs w:val="32"/>
        </w:rPr>
        <w:t>年一般公共预算支出决算数为</w:t>
      </w:r>
      <w:r>
        <w:rPr>
          <w:rFonts w:hint="eastAsia" w:eastAsia="仿宋_GB2312"/>
          <w:color w:val="323232"/>
          <w:kern w:val="0"/>
          <w:sz w:val="32"/>
          <w:szCs w:val="32"/>
          <w:lang w:val="en-US" w:eastAsia="zh-CN"/>
        </w:rPr>
        <w:t>434.53</w:t>
      </w:r>
      <w:r>
        <w:rPr>
          <w:rFonts w:eastAsia="仿宋_GB2312"/>
          <w:color w:val="323232"/>
          <w:kern w:val="0"/>
          <w:sz w:val="32"/>
          <w:szCs w:val="32"/>
        </w:rPr>
        <w:t>万元，完成预算1</w:t>
      </w:r>
      <w:r>
        <w:rPr>
          <w:rFonts w:hint="eastAsia" w:eastAsia="仿宋_GB2312"/>
          <w:color w:val="323232"/>
          <w:kern w:val="0"/>
          <w:sz w:val="32"/>
          <w:szCs w:val="32"/>
          <w:lang w:val="en-US" w:eastAsia="zh-CN"/>
        </w:rPr>
        <w:t>00</w:t>
      </w:r>
      <w:r>
        <w:rPr>
          <w:rFonts w:eastAsia="仿宋_GB2312"/>
          <w:color w:val="323232"/>
          <w:kern w:val="0"/>
          <w:sz w:val="32"/>
          <w:szCs w:val="32"/>
        </w:rPr>
        <w:t>%。其中：</w:t>
      </w:r>
      <w:bookmarkEnd w:id="53"/>
      <w:bookmarkEnd w:id="54"/>
      <w:bookmarkEnd w:id="55"/>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 xml:space="preserve"> 其他一般公共服务支出</w:t>
      </w:r>
      <w:r>
        <w:rPr>
          <w:rFonts w:eastAsia="仿宋_GB2312"/>
          <w:color w:val="000000" w:themeColor="text1"/>
          <w:kern w:val="0"/>
          <w:sz w:val="32"/>
          <w:szCs w:val="32"/>
          <w14:textFill>
            <w14:solidFill>
              <w14:schemeClr w14:val="tx1"/>
            </w14:solidFill>
          </w14:textFill>
        </w:rPr>
        <w:t>201（类）</w:t>
      </w:r>
      <w:r>
        <w:rPr>
          <w:rFonts w:hint="eastAsia" w:eastAsia="仿宋_GB2312"/>
          <w:color w:val="000000" w:themeColor="text1"/>
          <w:kern w:val="0"/>
          <w:sz w:val="32"/>
          <w:szCs w:val="32"/>
          <w:lang w:val="en-US" w:eastAsia="zh-CN"/>
          <w14:textFill>
            <w14:solidFill>
              <w14:schemeClr w14:val="tx1"/>
            </w14:solidFill>
          </w14:textFill>
        </w:rPr>
        <w:t>99</w:t>
      </w:r>
      <w:r>
        <w:rPr>
          <w:rFonts w:eastAsia="仿宋_GB2312"/>
          <w:color w:val="000000" w:themeColor="text1"/>
          <w:kern w:val="0"/>
          <w:sz w:val="32"/>
          <w:szCs w:val="32"/>
          <w14:textFill>
            <w14:solidFill>
              <w14:schemeClr w14:val="tx1"/>
            </w14:solidFill>
          </w14:textFill>
        </w:rPr>
        <w:t>（款）</w:t>
      </w:r>
      <w:r>
        <w:rPr>
          <w:rFonts w:hint="eastAsia" w:eastAsia="仿宋_GB2312"/>
          <w:color w:val="000000" w:themeColor="text1"/>
          <w:kern w:val="0"/>
          <w:sz w:val="32"/>
          <w:szCs w:val="32"/>
          <w:lang w:val="en-US" w:eastAsia="zh-CN"/>
          <w14:textFill>
            <w14:solidFill>
              <w14:schemeClr w14:val="tx1"/>
            </w14:solidFill>
          </w14:textFill>
        </w:rPr>
        <w:t>99</w:t>
      </w:r>
      <w:r>
        <w:rPr>
          <w:rFonts w:eastAsia="仿宋_GB2312"/>
          <w:color w:val="000000" w:themeColor="text1"/>
          <w:kern w:val="0"/>
          <w:sz w:val="32"/>
          <w:szCs w:val="32"/>
          <w14:textFill>
            <w14:solidFill>
              <w14:schemeClr w14:val="tx1"/>
            </w14:solidFill>
          </w14:textFill>
        </w:rPr>
        <w:t xml:space="preserve">（项）: </w:t>
      </w:r>
      <w:r>
        <w:rPr>
          <w:rFonts w:hint="eastAsia" w:eastAsia="仿宋_GB2312"/>
          <w:color w:val="000000" w:themeColor="text1"/>
          <w:kern w:val="0"/>
          <w:sz w:val="32"/>
          <w:szCs w:val="32"/>
          <w:lang w:eastAsia="zh-CN"/>
          <w14:textFill>
            <w14:solidFill>
              <w14:schemeClr w14:val="tx1"/>
            </w14:solidFill>
          </w14:textFill>
        </w:rPr>
        <w:t>支出决算为</w:t>
      </w:r>
      <w:r>
        <w:rPr>
          <w:rFonts w:hint="eastAsia" w:eastAsia="仿宋_GB2312"/>
          <w:color w:val="000000" w:themeColor="text1"/>
          <w:kern w:val="0"/>
          <w:sz w:val="32"/>
          <w:szCs w:val="32"/>
          <w:lang w:val="en-US" w:eastAsia="zh-CN"/>
          <w14:textFill>
            <w14:solidFill>
              <w14:schemeClr w14:val="tx1"/>
            </w14:solidFill>
          </w14:textFill>
        </w:rPr>
        <w:t>387.78</w:t>
      </w:r>
      <w:r>
        <w:rPr>
          <w:rFonts w:hint="eastAsia" w:eastAsia="仿宋_GB2312"/>
          <w:color w:val="000000" w:themeColor="text1"/>
          <w:kern w:val="0"/>
          <w:sz w:val="32"/>
          <w:szCs w:val="32"/>
          <w:lang w:eastAsia="zh-CN"/>
          <w14:textFill>
            <w14:solidFill>
              <w14:schemeClr w14:val="tx1"/>
            </w14:solidFill>
          </w14:textFill>
        </w:rPr>
        <w:t>万元，完成预算</w:t>
      </w:r>
      <w:r>
        <w:rPr>
          <w:rFonts w:hint="eastAsia" w:eastAsia="仿宋_GB2312"/>
          <w:color w:val="000000" w:themeColor="text1"/>
          <w:kern w:val="0"/>
          <w:sz w:val="32"/>
          <w:szCs w:val="32"/>
          <w:lang w:val="en-US" w:eastAsia="zh-CN"/>
          <w14:textFill>
            <w14:solidFill>
              <w14:schemeClr w14:val="tx1"/>
            </w14:solidFill>
          </w14:textFill>
        </w:rPr>
        <w:t>100</w:t>
      </w:r>
      <w:r>
        <w:rPr>
          <w:rFonts w:hint="eastAsia" w:eastAsia="仿宋_GB2312"/>
          <w:color w:val="000000" w:themeColor="text1"/>
          <w:kern w:val="0"/>
          <w:sz w:val="32"/>
          <w:szCs w:val="32"/>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 xml:space="preserve"> 机关事业单位基本养老保险缴费支出</w:t>
      </w:r>
      <w:r>
        <w:rPr>
          <w:rFonts w:hint="eastAsia" w:eastAsia="仿宋_GB2312"/>
          <w:color w:val="000000" w:themeColor="text1"/>
          <w:kern w:val="0"/>
          <w:sz w:val="32"/>
          <w:szCs w:val="32"/>
          <w:lang w:val="en-US" w:eastAsia="zh-CN"/>
          <w14:textFill>
            <w14:solidFill>
              <w14:schemeClr w14:val="tx1"/>
            </w14:solidFill>
          </w14:textFill>
        </w:rPr>
        <w:t>208（类）</w:t>
      </w:r>
      <w:r>
        <w:rPr>
          <w:rFonts w:eastAsia="仿宋_GB2312"/>
          <w:color w:val="000000" w:themeColor="text1"/>
          <w:kern w:val="0"/>
          <w:sz w:val="32"/>
          <w:szCs w:val="32"/>
          <w14:textFill>
            <w14:solidFill>
              <w14:schemeClr w14:val="tx1"/>
            </w14:solidFill>
          </w14:textFill>
        </w:rPr>
        <w:t>05（款）05（项）: 支出决算为</w:t>
      </w:r>
      <w:r>
        <w:rPr>
          <w:rFonts w:hint="eastAsia" w:eastAsia="仿宋_GB2312"/>
          <w:color w:val="000000" w:themeColor="text1"/>
          <w:kern w:val="0"/>
          <w:sz w:val="32"/>
          <w:szCs w:val="32"/>
          <w:lang w:val="en-US" w:eastAsia="zh-CN"/>
          <w14:textFill>
            <w14:solidFill>
              <w14:schemeClr w14:val="tx1"/>
            </w14:solidFill>
          </w14:textFill>
        </w:rPr>
        <w:t>18.61</w:t>
      </w:r>
      <w:r>
        <w:rPr>
          <w:rFonts w:eastAsia="仿宋_GB2312"/>
          <w:color w:val="000000" w:themeColor="text1"/>
          <w:kern w:val="0"/>
          <w:sz w:val="32"/>
          <w:szCs w:val="32"/>
          <w14:textFill>
            <w14:solidFill>
              <w14:schemeClr w14:val="tx1"/>
            </w14:solidFill>
          </w14:textFill>
        </w:rPr>
        <w:t>万元，完成预算</w:t>
      </w:r>
      <w:r>
        <w:rPr>
          <w:rFonts w:hint="eastAsia" w:eastAsia="仿宋_GB2312"/>
          <w:color w:val="000000" w:themeColor="text1"/>
          <w:kern w:val="0"/>
          <w:sz w:val="32"/>
          <w:szCs w:val="32"/>
          <w:lang w:val="en-US" w:eastAsia="zh-CN"/>
          <w14:textFill>
            <w14:solidFill>
              <w14:schemeClr w14:val="tx1"/>
            </w14:solidFill>
          </w14:textFill>
        </w:rPr>
        <w:t>100</w:t>
      </w:r>
      <w:r>
        <w:rPr>
          <w:rFonts w:eastAsia="仿宋_GB2312"/>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3. 其他行政事业单位养老支出208（类）05（款）99（项）: 支出决算为1.37万元，完成预算100%。</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kern w:val="0"/>
          <w:sz w:val="32"/>
          <w:szCs w:val="32"/>
          <w:lang w:val="en-US" w:eastAsia="zh-CN"/>
          <w14:textFill>
            <w14:solidFill>
              <w14:schemeClr w14:val="tx1"/>
            </w14:solidFill>
          </w14:textFill>
        </w:rPr>
        <w:t>4.</w:t>
      </w:r>
      <w:r>
        <w:rPr>
          <w:rFonts w:hint="eastAsia" w:eastAsia="仿宋_GB2312"/>
          <w:color w:val="000000" w:themeColor="text1"/>
          <w:kern w:val="0"/>
          <w:sz w:val="32"/>
          <w:szCs w:val="32"/>
          <w:lang w:val="en-US" w:eastAsia="zh-CN"/>
          <w14:textFill>
            <w14:solidFill>
              <w14:schemeClr w14:val="tx1"/>
            </w14:solidFill>
          </w14:textFill>
        </w:rPr>
        <w:t>事业单位医疗210（类）11（款）02（项）: 支出决算为10.54万元，完成预算100%。</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default"/>
          <w:color w:val="000000" w:themeColor="text1"/>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公务员医疗补助210（类）11（款）03（项）: 支出决算为2.28万元，完成预算100%。</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.住房保障221（类）02（款）01（项）:支出决算为</w:t>
      </w:r>
      <w:r>
        <w:rPr>
          <w:rFonts w:hint="eastAsia" w:eastAsia="仿宋_GB2312"/>
          <w:color w:val="000000" w:themeColor="text1"/>
          <w:kern w:val="0"/>
          <w:sz w:val="32"/>
          <w:szCs w:val="32"/>
          <w:lang w:val="en-US" w:eastAsia="zh-CN"/>
          <w14:textFill>
            <w14:solidFill>
              <w14:schemeClr w14:val="tx1"/>
            </w14:solidFill>
          </w14:textFill>
        </w:rPr>
        <w:t>13.95</w:t>
      </w:r>
      <w:r>
        <w:rPr>
          <w:rFonts w:eastAsia="仿宋_GB2312"/>
          <w:color w:val="000000" w:themeColor="text1"/>
          <w:kern w:val="0"/>
          <w:sz w:val="32"/>
          <w:szCs w:val="32"/>
          <w14:textFill>
            <w14:solidFill>
              <w14:schemeClr w14:val="tx1"/>
            </w14:solidFill>
          </w14:textFill>
        </w:rPr>
        <w:t>万元，完成预算</w:t>
      </w:r>
      <w:r>
        <w:rPr>
          <w:rFonts w:hint="eastAsia" w:eastAsia="仿宋_GB2312"/>
          <w:color w:val="000000" w:themeColor="text1"/>
          <w:kern w:val="0"/>
          <w:sz w:val="32"/>
          <w:szCs w:val="32"/>
          <w:lang w:val="en-US" w:eastAsia="zh-CN"/>
          <w14:textFill>
            <w14:solidFill>
              <w14:schemeClr w14:val="tx1"/>
            </w14:solidFill>
          </w14:textFill>
        </w:rPr>
        <w:t>100</w:t>
      </w:r>
      <w:r>
        <w:rPr>
          <w:rFonts w:eastAsia="仿宋_GB2312"/>
          <w:color w:val="000000" w:themeColor="text1"/>
          <w:kern w:val="0"/>
          <w:sz w:val="32"/>
          <w:szCs w:val="32"/>
          <w14:textFill>
            <w14:solidFill>
              <w14:schemeClr w14:val="tx1"/>
            </w14:solidFill>
          </w14:textFill>
        </w:rPr>
        <w:t>%。</w:t>
      </w:r>
    </w:p>
    <w:p>
      <w:pPr>
        <w:keepNext w:val="0"/>
        <w:keepLines w:val="0"/>
        <w:pageBreakBefore w:val="0"/>
        <w:widowControl w:val="0"/>
        <w:tabs>
          <w:tab w:val="right" w:pos="8306"/>
        </w:tabs>
        <w:kinsoku/>
        <w:wordWrap/>
        <w:overflowPunct/>
        <w:topLinePunct w:val="0"/>
        <w:autoSpaceDE/>
        <w:autoSpaceDN/>
        <w:bidi w:val="0"/>
        <w:adjustRightInd/>
        <w:spacing w:line="578" w:lineRule="exact"/>
        <w:ind w:firstLine="640"/>
        <w:textAlignment w:val="auto"/>
        <w:outlineLvl w:val="1"/>
        <w:rPr>
          <w:rStyle w:val="40"/>
          <w:rFonts w:ascii="Times New Roman" w:hAnsi="Times New Roman"/>
        </w:rPr>
      </w:pPr>
      <w:bookmarkStart w:id="56" w:name="_Toc15396608"/>
      <w:bookmarkStart w:id="57" w:name="_Toc18686"/>
      <w:bookmarkStart w:id="58" w:name="_Toc15377214"/>
      <w:r>
        <w:rPr>
          <w:rFonts w:eastAsia="黑体"/>
          <w:color w:val="000000"/>
          <w:sz w:val="32"/>
          <w:szCs w:val="32"/>
        </w:rPr>
        <w:t>六</w:t>
      </w:r>
      <w:r>
        <w:rPr>
          <w:rFonts w:eastAsia="黑体"/>
          <w:b/>
          <w:color w:val="000000"/>
          <w:sz w:val="32"/>
          <w:szCs w:val="32"/>
        </w:rPr>
        <w:t>、一</w:t>
      </w:r>
      <w:r>
        <w:rPr>
          <w:rStyle w:val="40"/>
          <w:rFonts w:ascii="Times New Roman" w:hAnsi="Times New Roman" w:eastAsia="黑体"/>
          <w:b w:val="0"/>
        </w:rPr>
        <w:t>般公共预算财政拨款基本支出决算情况说明</w:t>
      </w:r>
      <w:bookmarkEnd w:id="56"/>
      <w:bookmarkEnd w:id="57"/>
      <w:bookmarkEnd w:id="58"/>
      <w:r>
        <w:rPr>
          <w:rStyle w:val="40"/>
          <w:rFonts w:ascii="Times New Roman" w:hAnsi="Times New Roman" w:eastAsia="黑体"/>
          <w:b w:val="0"/>
        </w:rPr>
        <w:tab/>
      </w:r>
    </w:p>
    <w:p>
      <w:pPr>
        <w:keepNext w:val="0"/>
        <w:keepLines w:val="0"/>
        <w:pageBreakBefore w:val="0"/>
        <w:widowControl w:val="0"/>
        <w:kinsoku/>
        <w:wordWrap/>
        <w:overflowPunct/>
        <w:topLinePunct w:val="0"/>
        <w:autoSpaceDE/>
        <w:autoSpaceDN/>
        <w:bidi w:val="0"/>
        <w:adjustRightInd/>
        <w:spacing w:line="578" w:lineRule="exact"/>
        <w:ind w:firstLine="640"/>
        <w:contextualSpacing/>
        <w:textAlignment w:val="auto"/>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eastAsia="zh-CN"/>
        </w:rPr>
        <w:t>202</w:t>
      </w:r>
      <w:r>
        <w:rPr>
          <w:rFonts w:hint="eastAsia" w:eastAsia="仿宋" w:cs="Times New Roman"/>
          <w:color w:val="000000"/>
          <w:sz w:val="32"/>
          <w:szCs w:val="32"/>
          <w:lang w:val="en-US" w:eastAsia="zh-CN"/>
        </w:rPr>
        <w:t>1</w:t>
      </w:r>
      <w:r>
        <w:rPr>
          <w:rFonts w:hint="eastAsia" w:ascii="Times New Roman" w:hAnsi="Times New Roman" w:eastAsia="仿宋" w:cs="Times New Roman"/>
          <w:color w:val="000000"/>
          <w:sz w:val="32"/>
          <w:szCs w:val="32"/>
          <w:lang w:eastAsia="zh-CN"/>
        </w:rPr>
        <w:t>年一般公共预算财政拨款基本支出</w:t>
      </w:r>
      <w:r>
        <w:rPr>
          <w:rFonts w:hint="eastAsia" w:eastAsia="仿宋" w:cs="Times New Roman"/>
          <w:color w:val="000000"/>
          <w:sz w:val="32"/>
          <w:szCs w:val="32"/>
          <w:lang w:val="en-US" w:eastAsia="zh-CN"/>
        </w:rPr>
        <w:t>286.77</w:t>
      </w:r>
      <w:r>
        <w:rPr>
          <w:rFonts w:hint="eastAsia" w:ascii="Times New Roman" w:hAnsi="Times New Roman" w:eastAsia="仿宋" w:cs="Times New Roman"/>
          <w:color w:val="000000"/>
          <w:sz w:val="32"/>
          <w:szCs w:val="32"/>
          <w:lang w:eastAsia="zh-CN"/>
        </w:rPr>
        <w:t>万元，其中：</w:t>
      </w:r>
    </w:p>
    <w:p>
      <w:pPr>
        <w:keepNext w:val="0"/>
        <w:keepLines w:val="0"/>
        <w:pageBreakBefore w:val="0"/>
        <w:widowControl w:val="0"/>
        <w:kinsoku/>
        <w:wordWrap/>
        <w:overflowPunct/>
        <w:topLinePunct w:val="0"/>
        <w:autoSpaceDE/>
        <w:autoSpaceDN/>
        <w:bidi w:val="0"/>
        <w:adjustRightInd/>
        <w:spacing w:line="578" w:lineRule="exact"/>
        <w:ind w:firstLine="640"/>
        <w:contextualSpacing/>
        <w:textAlignment w:val="auto"/>
        <w:rPr>
          <w:rFonts w:eastAsia="仿宋_GB2312"/>
          <w:color w:val="323232"/>
          <w:kern w:val="0"/>
          <w:sz w:val="32"/>
          <w:szCs w:val="32"/>
        </w:rPr>
      </w:pPr>
      <w:r>
        <w:rPr>
          <w:rFonts w:hint="eastAsia" w:ascii="Times New Roman" w:hAnsi="Times New Roman" w:eastAsia="仿宋" w:cs="Times New Roman"/>
          <w:color w:val="000000"/>
          <w:sz w:val="32"/>
          <w:szCs w:val="32"/>
          <w:lang w:eastAsia="zh-CN"/>
        </w:rPr>
        <w:t>人员经费</w:t>
      </w:r>
      <w:r>
        <w:rPr>
          <w:rFonts w:hint="eastAsia" w:eastAsia="仿宋" w:cs="Times New Roman"/>
          <w:color w:val="000000"/>
          <w:sz w:val="32"/>
          <w:szCs w:val="32"/>
          <w:lang w:val="en-US" w:eastAsia="zh-CN"/>
        </w:rPr>
        <w:t>263.81</w:t>
      </w:r>
      <w:r>
        <w:rPr>
          <w:rFonts w:hint="eastAsia" w:ascii="Times New Roman" w:hAnsi="Times New Roman" w:eastAsia="仿宋" w:cs="Times New Roman"/>
          <w:color w:val="000000"/>
          <w:sz w:val="32"/>
          <w:szCs w:val="32"/>
          <w:lang w:eastAsia="zh-CN"/>
        </w:rPr>
        <w:t>万元，主要包括：包括：基本工资、绩效工资、机关事业单位基本养老保险缴费、职工基本医疗保险缴费、其他社会保障缴费、住房公积金、对个人和家庭的补助。　</w:t>
      </w:r>
      <w:r>
        <w:rPr>
          <w:rFonts w:eastAsia="仿宋_GB2312"/>
          <w:color w:val="323232"/>
          <w:kern w:val="0"/>
          <w:sz w:val="32"/>
          <w:szCs w:val="32"/>
        </w:rPr>
        <w:t>　</w:t>
      </w:r>
    </w:p>
    <w:p>
      <w:pPr>
        <w:keepNext w:val="0"/>
        <w:keepLines w:val="0"/>
        <w:pageBreakBefore w:val="0"/>
        <w:widowControl w:val="0"/>
        <w:kinsoku/>
        <w:wordWrap/>
        <w:overflowPunct/>
        <w:topLinePunct w:val="0"/>
        <w:autoSpaceDE/>
        <w:autoSpaceDN/>
        <w:bidi w:val="0"/>
        <w:adjustRightInd/>
        <w:spacing w:line="578" w:lineRule="exact"/>
        <w:ind w:firstLine="640"/>
        <w:contextualSpacing/>
        <w:textAlignment w:val="auto"/>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eastAsia="zh-CN"/>
        </w:rPr>
        <w:t>日常公用经费</w:t>
      </w:r>
      <w:r>
        <w:rPr>
          <w:rFonts w:hint="eastAsia" w:eastAsia="仿宋" w:cs="Times New Roman"/>
          <w:color w:val="000000"/>
          <w:sz w:val="32"/>
          <w:szCs w:val="32"/>
          <w:lang w:val="en-US" w:eastAsia="zh-CN"/>
        </w:rPr>
        <w:t>22.96</w:t>
      </w:r>
      <w:r>
        <w:rPr>
          <w:rFonts w:hint="eastAsia" w:ascii="Times New Roman" w:hAnsi="Times New Roman" w:eastAsia="仿宋" w:cs="Times New Roman"/>
          <w:color w:val="000000"/>
          <w:sz w:val="32"/>
          <w:szCs w:val="32"/>
          <w:lang w:eastAsia="zh-CN"/>
        </w:rPr>
        <w:t>万元，包括：办公费、印刷费、手续费、邮电费、差旅费、维修（护）费、培训费、公务接待费、劳务费、工会经费、福利费、公务用车运行维护费。</w:t>
      </w:r>
    </w:p>
    <w:p>
      <w:pPr>
        <w:keepNext w:val="0"/>
        <w:keepLines w:val="0"/>
        <w:pageBreakBefore w:val="0"/>
        <w:widowControl w:val="0"/>
        <w:kinsoku/>
        <w:wordWrap/>
        <w:overflowPunct/>
        <w:topLinePunct w:val="0"/>
        <w:autoSpaceDE/>
        <w:autoSpaceDN/>
        <w:bidi w:val="0"/>
        <w:adjustRightInd/>
        <w:spacing w:line="578" w:lineRule="exact"/>
        <w:ind w:firstLine="640"/>
        <w:textAlignment w:val="auto"/>
        <w:outlineLvl w:val="1"/>
        <w:rPr>
          <w:rStyle w:val="40"/>
          <w:rFonts w:ascii="Times New Roman" w:hAnsi="Times New Roman" w:eastAsia="黑体"/>
          <w:b w:val="0"/>
        </w:rPr>
      </w:pPr>
      <w:bookmarkStart w:id="59" w:name="_Toc15377215"/>
      <w:bookmarkStart w:id="60" w:name="_Toc9472"/>
      <w:bookmarkStart w:id="61" w:name="_Toc15396609"/>
      <w:r>
        <w:rPr>
          <w:rFonts w:eastAsia="黑体"/>
          <w:color w:val="000000"/>
          <w:sz w:val="32"/>
          <w:szCs w:val="32"/>
        </w:rPr>
        <w:t>七、</w:t>
      </w:r>
      <w:r>
        <w:rPr>
          <w:rStyle w:val="40"/>
          <w:rFonts w:ascii="Times New Roman" w:hAnsi="Times New Roman" w:eastAsia="黑体"/>
        </w:rPr>
        <w:t>“</w:t>
      </w:r>
      <w:r>
        <w:rPr>
          <w:rStyle w:val="40"/>
          <w:rFonts w:ascii="Times New Roman" w:hAnsi="Times New Roman" w:eastAsia="黑体"/>
          <w:b w:val="0"/>
        </w:rPr>
        <w:t>三公”经费财政拨款支出决算情况说明</w:t>
      </w:r>
      <w:bookmarkEnd w:id="59"/>
      <w:bookmarkEnd w:id="60"/>
      <w:bookmarkEnd w:id="61"/>
    </w:p>
    <w:p>
      <w:pPr>
        <w:pageBreakBefore w:val="0"/>
        <w:kinsoku/>
        <w:wordWrap/>
        <w:overflowPunct/>
        <w:topLinePunct w:val="0"/>
        <w:bidi w:val="0"/>
        <w:snapToGrid/>
        <w:spacing w:line="578" w:lineRule="exact"/>
        <w:ind w:firstLine="640" w:firstLineChars="200"/>
        <w:textAlignment w:val="auto"/>
        <w:rPr>
          <w:rFonts w:hint="eastAsia" w:ascii="Times New Roman" w:hAnsi="Times New Roman" w:eastAsia="楷体_GB2312" w:cs="Times New Roman"/>
          <w:kern w:val="0"/>
          <w:sz w:val="32"/>
          <w:szCs w:val="32"/>
          <w:shd w:val="clear" w:color="auto" w:fill="FFFFFF"/>
          <w:lang w:val="en-US" w:eastAsia="zh-CN" w:bidi="ar-SA"/>
        </w:rPr>
      </w:pPr>
      <w:bookmarkStart w:id="62" w:name="_Toc15377216"/>
      <w:r>
        <w:rPr>
          <w:rFonts w:hint="eastAsia" w:ascii="Times New Roman" w:hAnsi="Times New Roman" w:eastAsia="楷体_GB2312" w:cs="Times New Roman"/>
          <w:kern w:val="0"/>
          <w:sz w:val="32"/>
          <w:szCs w:val="32"/>
          <w:shd w:val="clear" w:color="auto" w:fill="FFFFFF"/>
          <w:lang w:val="en-US" w:eastAsia="zh-CN" w:bidi="ar-SA"/>
        </w:rPr>
        <w:t>（一）“三公”经费财政拨款支出决算总体情况说明</w:t>
      </w:r>
      <w:bookmarkEnd w:id="62"/>
    </w:p>
    <w:p>
      <w:pPr>
        <w:keepNext w:val="0"/>
        <w:keepLines w:val="0"/>
        <w:pageBreakBefore w:val="0"/>
        <w:widowControl w:val="0"/>
        <w:kinsoku/>
        <w:wordWrap/>
        <w:overflowPunct/>
        <w:topLinePunct w:val="0"/>
        <w:autoSpaceDE/>
        <w:autoSpaceDN/>
        <w:bidi w:val="0"/>
        <w:adjustRightInd/>
        <w:spacing w:line="578" w:lineRule="exact"/>
        <w:ind w:firstLine="640"/>
        <w:contextualSpacing/>
        <w:textAlignment w:val="auto"/>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eastAsia="zh-CN"/>
        </w:rPr>
        <w:t>202</w:t>
      </w:r>
      <w:r>
        <w:rPr>
          <w:rFonts w:hint="eastAsia" w:eastAsia="仿宋" w:cs="Times New Roman"/>
          <w:color w:val="000000"/>
          <w:sz w:val="32"/>
          <w:szCs w:val="32"/>
          <w:lang w:val="en-US" w:eastAsia="zh-CN"/>
        </w:rPr>
        <w:t>1</w:t>
      </w:r>
      <w:r>
        <w:rPr>
          <w:rFonts w:hint="eastAsia" w:ascii="Times New Roman" w:hAnsi="Times New Roman" w:eastAsia="仿宋" w:cs="Times New Roman"/>
          <w:color w:val="000000"/>
          <w:sz w:val="32"/>
          <w:szCs w:val="32"/>
          <w:lang w:eastAsia="zh-CN"/>
        </w:rPr>
        <w:t>年“三公”经费财政拨款支出决算为</w:t>
      </w:r>
      <w:r>
        <w:rPr>
          <w:rFonts w:hint="eastAsia" w:eastAsia="仿宋" w:cs="Times New Roman"/>
          <w:color w:val="000000"/>
          <w:sz w:val="32"/>
          <w:szCs w:val="32"/>
          <w:lang w:val="en-US" w:eastAsia="zh-CN"/>
        </w:rPr>
        <w:t>2.51</w:t>
      </w:r>
      <w:r>
        <w:rPr>
          <w:rFonts w:hint="eastAsia" w:ascii="Times New Roman" w:hAnsi="Times New Roman" w:eastAsia="仿宋" w:cs="Times New Roman"/>
          <w:color w:val="000000"/>
          <w:sz w:val="32"/>
          <w:szCs w:val="32"/>
          <w:lang w:eastAsia="zh-CN"/>
        </w:rPr>
        <w:t>万元，完成预算</w:t>
      </w:r>
      <w:r>
        <w:rPr>
          <w:rFonts w:hint="eastAsia" w:eastAsia="仿宋" w:cs="Times New Roman"/>
          <w:color w:val="000000"/>
          <w:sz w:val="32"/>
          <w:szCs w:val="32"/>
          <w:lang w:val="en-US" w:eastAsia="zh-CN"/>
        </w:rPr>
        <w:t>55.78</w:t>
      </w:r>
      <w:r>
        <w:rPr>
          <w:rFonts w:hint="eastAsia" w:ascii="Times New Roman" w:hAnsi="Times New Roman" w:eastAsia="仿宋" w:cs="Times New Roman"/>
          <w:color w:val="000000"/>
          <w:sz w:val="32"/>
          <w:szCs w:val="32"/>
          <w:lang w:eastAsia="zh-CN"/>
        </w:rPr>
        <w:t>%，决算数小于预算数的主要原因是公务接待减少。</w:t>
      </w:r>
    </w:p>
    <w:p>
      <w:pPr>
        <w:pageBreakBefore w:val="0"/>
        <w:kinsoku/>
        <w:wordWrap/>
        <w:overflowPunct/>
        <w:topLinePunct w:val="0"/>
        <w:bidi w:val="0"/>
        <w:snapToGrid/>
        <w:spacing w:line="578" w:lineRule="exact"/>
        <w:ind w:firstLine="640" w:firstLineChars="200"/>
        <w:textAlignment w:val="auto"/>
        <w:rPr>
          <w:rFonts w:hint="eastAsia" w:ascii="Times New Roman" w:hAnsi="Times New Roman" w:eastAsia="楷体_GB2312" w:cs="Times New Roman"/>
          <w:kern w:val="0"/>
          <w:sz w:val="32"/>
          <w:szCs w:val="32"/>
          <w:shd w:val="clear" w:color="auto" w:fill="FFFFFF"/>
          <w:lang w:val="en-US" w:eastAsia="zh-CN" w:bidi="ar-SA"/>
        </w:rPr>
      </w:pPr>
      <w:bookmarkStart w:id="63" w:name="_Toc15377217"/>
      <w:r>
        <w:rPr>
          <w:rFonts w:hint="eastAsia" w:ascii="Times New Roman" w:hAnsi="Times New Roman" w:eastAsia="楷体_GB2312" w:cs="Times New Roman"/>
          <w:kern w:val="0"/>
          <w:sz w:val="32"/>
          <w:szCs w:val="32"/>
          <w:shd w:val="clear" w:color="auto" w:fill="FFFFFF"/>
          <w:lang w:val="en-US" w:eastAsia="zh-CN" w:bidi="ar-SA"/>
        </w:rPr>
        <w:t>（二）“三公”经费财政拨款支出决算具体情况说明</w:t>
      </w:r>
      <w:bookmarkEnd w:id="63"/>
    </w:p>
    <w:p>
      <w:pPr>
        <w:keepNext w:val="0"/>
        <w:keepLines w:val="0"/>
        <w:pageBreakBefore w:val="0"/>
        <w:widowControl w:val="0"/>
        <w:kinsoku/>
        <w:wordWrap/>
        <w:overflowPunct/>
        <w:topLinePunct w:val="0"/>
        <w:autoSpaceDE/>
        <w:autoSpaceDN/>
        <w:bidi w:val="0"/>
        <w:adjustRightInd/>
        <w:spacing w:line="578" w:lineRule="exact"/>
        <w:ind w:firstLine="640"/>
        <w:contextualSpacing/>
        <w:textAlignment w:val="auto"/>
        <w:rPr>
          <w:rFonts w:hint="eastAsia" w:ascii="Times New Roman" w:hAnsi="Times New Roman" w:eastAsia="仿宋" w:cs="Times New Roman"/>
          <w:color w:val="000000" w:themeColor="text1"/>
          <w:sz w:val="32"/>
          <w:szCs w:val="32"/>
          <w:lang w:eastAsia="zh-CN"/>
          <w14:textFill>
            <w14:solidFill>
              <w14:schemeClr w14:val="tx1"/>
            </w14:solidFill>
          </w14:textFill>
        </w:rPr>
      </w:pPr>
      <w:r>
        <w:rPr>
          <w:rFonts w:hint="eastAsia" w:ascii="Times New Roman" w:hAnsi="Times New Roman" w:eastAsia="仿宋" w:cs="Times New Roman"/>
          <w:color w:val="000000"/>
          <w:sz w:val="32"/>
          <w:szCs w:val="32"/>
          <w:lang w:eastAsia="zh-CN"/>
        </w:rPr>
        <w:t>202</w:t>
      </w:r>
      <w:r>
        <w:rPr>
          <w:rFonts w:hint="eastAsia" w:eastAsia="仿宋" w:cs="Times New Roman"/>
          <w:color w:val="000000"/>
          <w:sz w:val="32"/>
          <w:szCs w:val="32"/>
          <w:lang w:val="en-US" w:eastAsia="zh-CN"/>
        </w:rPr>
        <w:t>1</w:t>
      </w:r>
      <w:r>
        <w:rPr>
          <w:rFonts w:hint="eastAsia" w:ascii="Times New Roman" w:hAnsi="Times New Roman" w:eastAsia="仿宋" w:cs="Times New Roman"/>
          <w:color w:val="000000"/>
          <w:sz w:val="32"/>
          <w:szCs w:val="32"/>
          <w:lang w:eastAsia="zh-CN"/>
        </w:rPr>
        <w:t>年“三公”经费财政拨款支出决算中，因公出国（境）费支出决算0万元，占</w:t>
      </w:r>
      <w:r>
        <w:rPr>
          <w:rFonts w:hint="eastAsia" w:ascii="Times New Roman" w:hAnsi="Times New Roman" w:eastAsia="仿宋" w:cs="Times New Roman"/>
          <w:color w:val="000000"/>
          <w:sz w:val="32"/>
          <w:szCs w:val="32"/>
          <w:lang w:val="en-US" w:eastAsia="zh-CN"/>
        </w:rPr>
        <w:t>0</w:t>
      </w:r>
      <w:r>
        <w:rPr>
          <w:rFonts w:hint="eastAsia" w:ascii="Times New Roman" w:hAnsi="Times New Roman" w:eastAsia="仿宋" w:cs="Times New Roman"/>
          <w:color w:val="000000"/>
          <w:sz w:val="32"/>
          <w:szCs w:val="32"/>
          <w:lang w:eastAsia="zh-CN"/>
        </w:rPr>
        <w:t>%；公务用车购置及运行维护费支出决算</w:t>
      </w:r>
      <w:r>
        <w:rPr>
          <w:rFonts w:hint="eastAsia" w:eastAsia="仿宋" w:cs="Times New Roman"/>
          <w:color w:val="000000"/>
          <w:sz w:val="32"/>
          <w:szCs w:val="32"/>
          <w:lang w:val="en-US" w:eastAsia="zh-CN"/>
        </w:rPr>
        <w:t>2.32</w:t>
      </w:r>
      <w:r>
        <w:rPr>
          <w:rFonts w:hint="eastAsia" w:ascii="Times New Roman" w:hAnsi="Times New Roman" w:eastAsia="仿宋" w:cs="Times New Roman"/>
          <w:color w:val="000000"/>
          <w:sz w:val="32"/>
          <w:szCs w:val="32"/>
          <w:lang w:eastAsia="zh-CN"/>
        </w:rPr>
        <w:t>万元，占</w:t>
      </w:r>
      <w:r>
        <w:rPr>
          <w:rFonts w:hint="eastAsia" w:eastAsia="仿宋" w:cs="Times New Roman"/>
          <w:color w:val="000000"/>
          <w:sz w:val="32"/>
          <w:szCs w:val="32"/>
          <w:lang w:val="en-US" w:eastAsia="zh-CN"/>
        </w:rPr>
        <w:t>66.29</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themeColor="text1"/>
          <w:sz w:val="32"/>
          <w:szCs w:val="32"/>
          <w:lang w:eastAsia="zh-CN"/>
          <w14:textFill>
            <w14:solidFill>
              <w14:schemeClr w14:val="tx1"/>
            </w14:solidFill>
          </w14:textFill>
        </w:rPr>
        <w:t>公务接待费支出决算</w:t>
      </w:r>
      <w:r>
        <w:rPr>
          <w:rFonts w:hint="eastAsia" w:eastAsia="仿宋" w:cs="Times New Roman"/>
          <w:color w:val="000000" w:themeColor="text1"/>
          <w:sz w:val="32"/>
          <w:szCs w:val="32"/>
          <w:lang w:val="en-US" w:eastAsia="zh-CN"/>
          <w14:textFill>
            <w14:solidFill>
              <w14:schemeClr w14:val="tx1"/>
            </w14:solidFill>
          </w14:textFill>
        </w:rPr>
        <w:t>0.19</w:t>
      </w:r>
      <w:r>
        <w:rPr>
          <w:rFonts w:hint="eastAsia" w:ascii="Times New Roman" w:hAnsi="Times New Roman" w:eastAsia="仿宋" w:cs="Times New Roman"/>
          <w:color w:val="000000" w:themeColor="text1"/>
          <w:sz w:val="32"/>
          <w:szCs w:val="32"/>
          <w:lang w:eastAsia="zh-CN"/>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19.00</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78" w:lineRule="exact"/>
        <w:ind w:firstLine="640"/>
        <w:textAlignment w:val="auto"/>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Times New Roman" w:hAnsi="Times New Roman" w:eastAsia="仿宋" w:cs="Times New Roman"/>
          <w:color w:val="000000"/>
          <w:sz w:val="32"/>
          <w:szCs w:val="32"/>
          <w:lang w:eastAsia="zh-CN"/>
        </w:rPr>
        <w:t>0万元，完成预算0%。全年安排因公出国（境）团组0次，出国（境）0人。因公出国（境）支出决算与20</w:t>
      </w:r>
      <w:r>
        <w:rPr>
          <w:rFonts w:hint="eastAsia" w:eastAsia="仿宋" w:cs="Times New Roman"/>
          <w:color w:val="000000"/>
          <w:sz w:val="32"/>
          <w:szCs w:val="32"/>
          <w:lang w:val="en-US" w:eastAsia="zh-CN"/>
        </w:rPr>
        <w:t>20</w:t>
      </w:r>
      <w:r>
        <w:rPr>
          <w:rFonts w:hint="eastAsia" w:ascii="Times New Roman" w:hAnsi="Times New Roman" w:eastAsia="仿宋" w:cs="Times New Roman"/>
          <w:color w:val="000000"/>
          <w:sz w:val="32"/>
          <w:szCs w:val="32"/>
          <w:lang w:eastAsia="zh-CN"/>
        </w:rPr>
        <w:t>年持平，均未发生支出。</w:t>
      </w:r>
    </w:p>
    <w:p>
      <w:pPr>
        <w:keepNext w:val="0"/>
        <w:keepLines w:val="0"/>
        <w:pageBreakBefore w:val="0"/>
        <w:widowControl w:val="0"/>
        <w:kinsoku/>
        <w:wordWrap/>
        <w:overflowPunct/>
        <w:topLinePunct w:val="0"/>
        <w:autoSpaceDE/>
        <w:autoSpaceDN/>
        <w:bidi w:val="0"/>
        <w:adjustRightInd/>
        <w:spacing w:line="578" w:lineRule="exact"/>
        <w:ind w:firstLine="640"/>
        <w:contextualSpacing/>
        <w:textAlignment w:val="auto"/>
        <w:rPr>
          <w:rFonts w:hint="eastAsia" w:ascii="Times New Roman" w:hAnsi="Times New Roman" w:eastAsia="仿宋" w:cs="Times New Roman"/>
          <w:color w:val="000000"/>
          <w:sz w:val="32"/>
          <w:szCs w:val="32"/>
          <w:lang w:eastAsia="zh-CN"/>
        </w:rPr>
      </w:pPr>
      <w:r>
        <w:rPr>
          <w:rFonts w:hint="eastAsia" w:eastAsia="仿宋_GB2312"/>
          <w:b/>
          <w:color w:val="000000"/>
          <w:sz w:val="32"/>
          <w:szCs w:val="32"/>
          <w:lang w:val="en-US" w:eastAsia="zh-CN"/>
        </w:rPr>
        <w:t>2</w:t>
      </w:r>
      <w:r>
        <w:rPr>
          <w:rFonts w:eastAsia="仿宋_GB2312"/>
          <w:b/>
          <w:color w:val="000000"/>
          <w:sz w:val="32"/>
          <w:szCs w:val="32"/>
        </w:rPr>
        <w:t>.公务用车购置及运行维护费支出</w:t>
      </w:r>
      <w:r>
        <w:rPr>
          <w:rFonts w:hint="eastAsia" w:eastAsia="仿宋" w:cs="Times New Roman"/>
          <w:color w:val="000000"/>
          <w:sz w:val="32"/>
          <w:szCs w:val="32"/>
          <w:lang w:val="en-US" w:eastAsia="zh-CN"/>
        </w:rPr>
        <w:t>2.32</w:t>
      </w:r>
      <w:r>
        <w:rPr>
          <w:rFonts w:hint="eastAsia" w:ascii="Times New Roman" w:hAnsi="Times New Roman" w:eastAsia="仿宋" w:cs="Times New Roman"/>
          <w:color w:val="000000"/>
          <w:sz w:val="32"/>
          <w:szCs w:val="32"/>
          <w:lang w:eastAsia="zh-CN"/>
        </w:rPr>
        <w:t>万元,完成预算100%。公务用车购置及运行维护费支出决算</w:t>
      </w:r>
      <w:r>
        <w:rPr>
          <w:rFonts w:hint="eastAsia" w:eastAsia="仿宋" w:cs="Times New Roman"/>
          <w:color w:val="000000"/>
          <w:sz w:val="32"/>
          <w:szCs w:val="32"/>
          <w:lang w:eastAsia="zh-CN"/>
        </w:rPr>
        <w:t>比上年减少</w:t>
      </w:r>
      <w:r>
        <w:rPr>
          <w:rFonts w:hint="eastAsia" w:eastAsia="仿宋" w:cs="Times New Roman"/>
          <w:color w:val="000000"/>
          <w:sz w:val="32"/>
          <w:szCs w:val="32"/>
          <w:lang w:val="en-US" w:eastAsia="zh-CN"/>
        </w:rPr>
        <w:t>0.68万元，主要原因是受疫情原因影响，减少外出用车</w:t>
      </w:r>
      <w:r>
        <w:rPr>
          <w:rFonts w:hint="eastAsia"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78" w:lineRule="exact"/>
        <w:ind w:firstLine="640"/>
        <w:contextualSpacing/>
        <w:textAlignment w:val="auto"/>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eastAsia="zh-CN"/>
        </w:rPr>
        <w:t>其中：公务用车购置支出0万元。截至202</w:t>
      </w:r>
      <w:r>
        <w:rPr>
          <w:rFonts w:hint="eastAsia" w:eastAsia="仿宋" w:cs="Times New Roman"/>
          <w:color w:val="000000"/>
          <w:sz w:val="32"/>
          <w:szCs w:val="32"/>
          <w:lang w:val="en-US" w:eastAsia="zh-CN"/>
        </w:rPr>
        <w:t>1</w:t>
      </w:r>
      <w:r>
        <w:rPr>
          <w:rFonts w:hint="eastAsia" w:ascii="Times New Roman" w:hAnsi="Times New Roman" w:eastAsia="仿宋" w:cs="Times New Roman"/>
          <w:color w:val="000000"/>
          <w:sz w:val="32"/>
          <w:szCs w:val="32"/>
          <w:lang w:eastAsia="zh-CN"/>
        </w:rPr>
        <w:t>年12月底，单位其他用车1辆，其中：轿车1辆。</w:t>
      </w:r>
    </w:p>
    <w:p>
      <w:pPr>
        <w:keepNext w:val="0"/>
        <w:keepLines w:val="0"/>
        <w:pageBreakBefore w:val="0"/>
        <w:widowControl w:val="0"/>
        <w:kinsoku/>
        <w:wordWrap/>
        <w:overflowPunct/>
        <w:topLinePunct w:val="0"/>
        <w:autoSpaceDE/>
        <w:autoSpaceDN/>
        <w:bidi w:val="0"/>
        <w:adjustRightInd/>
        <w:spacing w:line="578" w:lineRule="exact"/>
        <w:ind w:firstLine="640"/>
        <w:textAlignment w:val="auto"/>
        <w:rPr>
          <w:rFonts w:hint="eastAsia" w:ascii="Times New Roman" w:hAnsi="Times New Roman" w:eastAsia="仿宋" w:cs="Times New Roman"/>
          <w:color w:val="000000"/>
          <w:sz w:val="32"/>
          <w:szCs w:val="32"/>
          <w:lang w:eastAsia="zh-CN"/>
        </w:rPr>
      </w:pPr>
      <w:r>
        <w:rPr>
          <w:rFonts w:hint="eastAsia" w:ascii="仿宋_GB2312" w:eastAsia="仿宋_GB2312"/>
          <w:b/>
          <w:color w:val="000000"/>
          <w:sz w:val="32"/>
          <w:szCs w:val="32"/>
        </w:rPr>
        <w:t>公务用车运行维护费支出</w:t>
      </w:r>
      <w:r>
        <w:rPr>
          <w:rFonts w:hint="eastAsia" w:eastAsia="仿宋_GB2312"/>
          <w:b/>
          <w:bCs/>
          <w:color w:val="000000"/>
          <w:sz w:val="32"/>
          <w:szCs w:val="32"/>
          <w:lang w:val="en-US" w:eastAsia="zh-CN"/>
        </w:rPr>
        <w:t>2.32</w:t>
      </w:r>
      <w:r>
        <w:rPr>
          <w:rFonts w:hint="eastAsia" w:ascii="仿宋_GB2312" w:eastAsia="仿宋_GB2312"/>
          <w:color w:val="000000"/>
          <w:sz w:val="32"/>
          <w:szCs w:val="32"/>
        </w:rPr>
        <w:t>万元。</w:t>
      </w:r>
      <w:r>
        <w:rPr>
          <w:rFonts w:hint="eastAsia" w:ascii="Times New Roman" w:hAnsi="Times New Roman" w:eastAsia="仿宋" w:cs="Times New Roman"/>
          <w:color w:val="000000"/>
          <w:sz w:val="32"/>
          <w:szCs w:val="32"/>
          <w:lang w:eastAsia="zh-CN"/>
        </w:rPr>
        <w:t>主要用于全力保障交易项目顺利实施，以及指导、协调交易业务等工作所需的公务用车燃料费、维修费、过路过桥费、保险费等支出。</w:t>
      </w:r>
    </w:p>
    <w:p>
      <w:pPr>
        <w:keepNext w:val="0"/>
        <w:keepLines w:val="0"/>
        <w:pageBreakBefore w:val="0"/>
        <w:widowControl w:val="0"/>
        <w:kinsoku/>
        <w:wordWrap/>
        <w:overflowPunct/>
        <w:topLinePunct w:val="0"/>
        <w:autoSpaceDE/>
        <w:autoSpaceDN/>
        <w:bidi w:val="0"/>
        <w:adjustRightInd/>
        <w:spacing w:line="578" w:lineRule="exact"/>
        <w:ind w:firstLine="640"/>
        <w:textAlignment w:val="auto"/>
        <w:rPr>
          <w:rFonts w:hint="eastAsia" w:ascii="Times New Roman" w:hAnsi="Times New Roman" w:eastAsia="仿宋" w:cs="Times New Roman"/>
          <w:color w:val="000000"/>
          <w:sz w:val="32"/>
          <w:szCs w:val="32"/>
          <w:lang w:eastAsia="zh-CN"/>
        </w:rPr>
      </w:pPr>
      <w:bookmarkStart w:id="64" w:name="_Toc15396610"/>
      <w:bookmarkStart w:id="65" w:name="_Toc15377218"/>
      <w:r>
        <w:rPr>
          <w:rFonts w:eastAsia="仿宋_GB2312"/>
          <w:b/>
          <w:color w:val="000000"/>
          <w:sz w:val="32"/>
          <w:szCs w:val="32"/>
        </w:rPr>
        <w:t>3</w:t>
      </w:r>
      <w:r>
        <w:rPr>
          <w:rFonts w:hint="eastAsia" w:eastAsia="仿宋_GB2312"/>
          <w:b/>
          <w:color w:val="000000"/>
          <w:sz w:val="32"/>
          <w:szCs w:val="32"/>
        </w:rPr>
        <w:t>.</w:t>
      </w:r>
      <w:r>
        <w:rPr>
          <w:rFonts w:eastAsia="仿宋_GB2312"/>
          <w:b/>
          <w:color w:val="000000"/>
          <w:sz w:val="32"/>
          <w:szCs w:val="32"/>
        </w:rPr>
        <w:t>公务接待费支出</w:t>
      </w:r>
      <w:r>
        <w:rPr>
          <w:rFonts w:hint="eastAsia" w:eastAsia="仿宋_GB2312"/>
          <w:b/>
          <w:bCs/>
          <w:color w:val="000000"/>
          <w:sz w:val="32"/>
          <w:szCs w:val="32"/>
          <w:lang w:val="en-US" w:eastAsia="zh-CN"/>
        </w:rPr>
        <w:t>0.19</w:t>
      </w:r>
      <w:r>
        <w:rPr>
          <w:rFonts w:eastAsia="仿宋_GB2312"/>
          <w:b/>
          <w:bCs/>
          <w:color w:val="000000"/>
          <w:sz w:val="32"/>
          <w:szCs w:val="32"/>
        </w:rPr>
        <w:t>万元，</w:t>
      </w:r>
      <w:r>
        <w:rPr>
          <w:rStyle w:val="17"/>
          <w:rFonts w:eastAsia="仿宋"/>
          <w:bCs/>
          <w:color w:val="000000"/>
          <w:sz w:val="32"/>
          <w:szCs w:val="32"/>
        </w:rPr>
        <w:t>完成预算</w:t>
      </w:r>
      <w:r>
        <w:rPr>
          <w:rStyle w:val="17"/>
          <w:rFonts w:hint="eastAsia" w:eastAsia="仿宋"/>
          <w:bCs/>
          <w:color w:val="000000"/>
          <w:sz w:val="32"/>
          <w:szCs w:val="32"/>
          <w:lang w:val="en-US" w:eastAsia="zh-CN"/>
        </w:rPr>
        <w:t>19.00</w:t>
      </w:r>
      <w:r>
        <w:rPr>
          <w:rStyle w:val="17"/>
          <w:rFonts w:eastAsia="仿宋"/>
          <w:bCs/>
          <w:color w:val="000000"/>
          <w:sz w:val="32"/>
          <w:szCs w:val="32"/>
        </w:rPr>
        <w:t>%。</w:t>
      </w:r>
      <w:r>
        <w:rPr>
          <w:rFonts w:hint="eastAsia" w:ascii="Times New Roman" w:hAnsi="Times New Roman" w:eastAsia="仿宋" w:cs="Times New Roman"/>
          <w:color w:val="000000" w:themeColor="text1"/>
          <w:sz w:val="32"/>
          <w:szCs w:val="32"/>
          <w:lang w:eastAsia="zh-CN"/>
          <w14:textFill>
            <w14:solidFill>
              <w14:schemeClr w14:val="tx1"/>
            </w14:solidFill>
          </w14:textFill>
        </w:rPr>
        <w:t>公务接待费支出决算与20</w:t>
      </w:r>
      <w:r>
        <w:rPr>
          <w:rFonts w:hint="eastAsia" w:eastAsia="仿宋" w:cs="Times New Roman"/>
          <w:color w:val="000000" w:themeColor="text1"/>
          <w:sz w:val="32"/>
          <w:szCs w:val="32"/>
          <w:lang w:val="en-US" w:eastAsia="zh-CN"/>
          <w14:textFill>
            <w14:solidFill>
              <w14:schemeClr w14:val="tx1"/>
            </w14:solidFill>
          </w14:textFill>
        </w:rPr>
        <w:t>20</w:t>
      </w:r>
      <w:r>
        <w:rPr>
          <w:rFonts w:hint="eastAsia" w:ascii="Times New Roman" w:hAnsi="Times New Roman" w:eastAsia="仿宋" w:cs="Times New Roman"/>
          <w:color w:val="000000" w:themeColor="text1"/>
          <w:sz w:val="32"/>
          <w:szCs w:val="32"/>
          <w:lang w:eastAsia="zh-CN"/>
          <w14:textFill>
            <w14:solidFill>
              <w14:schemeClr w14:val="tx1"/>
            </w14:solidFill>
          </w14:textFill>
        </w:rPr>
        <w:t>年相比，减少</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0.</w:t>
      </w:r>
      <w:r>
        <w:rPr>
          <w:rFonts w:hint="eastAsia" w:eastAsia="仿宋" w:cs="Times New Roman"/>
          <w:color w:val="000000" w:themeColor="text1"/>
          <w:sz w:val="32"/>
          <w:szCs w:val="32"/>
          <w:lang w:val="en-US" w:eastAsia="zh-CN"/>
          <w14:textFill>
            <w14:solidFill>
              <w14:schemeClr w14:val="tx1"/>
            </w14:solidFill>
          </w14:textFill>
        </w:rPr>
        <w:t>81</w:t>
      </w:r>
      <w:r>
        <w:rPr>
          <w:rFonts w:hint="eastAsia" w:ascii="Times New Roman" w:hAnsi="Times New Roman" w:eastAsia="仿宋" w:cs="Times New Roman"/>
          <w:color w:val="000000" w:themeColor="text1"/>
          <w:sz w:val="32"/>
          <w:szCs w:val="32"/>
          <w:lang w:eastAsia="zh-CN"/>
          <w14:textFill>
            <w14:solidFill>
              <w14:schemeClr w14:val="tx1"/>
            </w14:solidFill>
          </w14:textFill>
        </w:rPr>
        <w:t>万元，减少</w:t>
      </w:r>
      <w:r>
        <w:rPr>
          <w:rFonts w:hint="eastAsia" w:eastAsia="仿宋" w:cs="Times New Roman"/>
          <w:color w:val="000000" w:themeColor="text1"/>
          <w:sz w:val="32"/>
          <w:szCs w:val="32"/>
          <w:lang w:val="en-US" w:eastAsia="zh-CN"/>
          <w14:textFill>
            <w14:solidFill>
              <w14:schemeClr w14:val="tx1"/>
            </w14:solidFill>
          </w14:textFill>
        </w:rPr>
        <w:t>81</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sz w:val="32"/>
          <w:szCs w:val="32"/>
          <w:lang w:eastAsia="zh-CN"/>
        </w:rPr>
        <w:t>主要原因是我中心20</w:t>
      </w:r>
      <w:r>
        <w:rPr>
          <w:rFonts w:hint="eastAsia" w:ascii="Times New Roman" w:hAnsi="Times New Roman" w:eastAsia="仿宋" w:cs="Times New Roman"/>
          <w:color w:val="000000"/>
          <w:sz w:val="32"/>
          <w:szCs w:val="32"/>
          <w:lang w:val="en-US" w:eastAsia="zh-CN"/>
        </w:rPr>
        <w:t>2</w:t>
      </w:r>
      <w:r>
        <w:rPr>
          <w:rFonts w:hint="eastAsia" w:eastAsia="仿宋" w:cs="Times New Roman"/>
          <w:color w:val="000000"/>
          <w:sz w:val="32"/>
          <w:szCs w:val="32"/>
          <w:lang w:val="en-US" w:eastAsia="zh-CN"/>
        </w:rPr>
        <w:t>1</w:t>
      </w:r>
      <w:r>
        <w:rPr>
          <w:rFonts w:hint="eastAsia" w:ascii="Times New Roman" w:hAnsi="Times New Roman" w:eastAsia="仿宋" w:cs="Times New Roman"/>
          <w:color w:val="000000"/>
          <w:sz w:val="32"/>
          <w:szCs w:val="32"/>
          <w:lang w:eastAsia="zh-CN"/>
        </w:rPr>
        <w:t>年积极贯彻落实中央八项规定精神，从严控制公务接待费。其中：国内公务接待支出</w:t>
      </w:r>
      <w:r>
        <w:rPr>
          <w:rFonts w:hint="eastAsia" w:eastAsia="仿宋" w:cs="Times New Roman"/>
          <w:color w:val="000000"/>
          <w:sz w:val="32"/>
          <w:szCs w:val="32"/>
          <w:lang w:val="en-US" w:eastAsia="zh-CN"/>
        </w:rPr>
        <w:t>0.19</w:t>
      </w:r>
      <w:r>
        <w:rPr>
          <w:rFonts w:hint="eastAsia" w:ascii="Times New Roman" w:hAnsi="Times New Roman" w:eastAsia="仿宋" w:cs="Times New Roman"/>
          <w:color w:val="000000"/>
          <w:sz w:val="32"/>
          <w:szCs w:val="32"/>
          <w:lang w:eastAsia="zh-CN"/>
        </w:rPr>
        <w:t>万元，主要用于接待来</w:t>
      </w:r>
      <w:r>
        <w:rPr>
          <w:rFonts w:hint="eastAsia" w:eastAsia="仿宋" w:cs="Times New Roman"/>
          <w:color w:val="000000"/>
          <w:sz w:val="32"/>
          <w:szCs w:val="32"/>
          <w:lang w:eastAsia="zh-CN"/>
        </w:rPr>
        <w:t>自</w:t>
      </w:r>
      <w:r>
        <w:rPr>
          <w:rFonts w:hint="eastAsia" w:ascii="Times New Roman" w:hAnsi="Times New Roman" w:eastAsia="仿宋" w:cs="Times New Roman"/>
          <w:color w:val="000000"/>
          <w:sz w:val="32"/>
          <w:szCs w:val="32"/>
          <w:lang w:eastAsia="zh-CN"/>
        </w:rPr>
        <w:t>省市县区公共资源交易中心考察调研、学习及交流人员的用餐费。国内公务接待</w:t>
      </w:r>
      <w:r>
        <w:rPr>
          <w:rFonts w:hint="eastAsia" w:eastAsia="仿宋" w:cs="Times New Roman"/>
          <w:color w:val="000000"/>
          <w:sz w:val="32"/>
          <w:szCs w:val="32"/>
          <w:lang w:val="en-US" w:eastAsia="zh-CN"/>
        </w:rPr>
        <w:t>2</w:t>
      </w:r>
      <w:r>
        <w:rPr>
          <w:rFonts w:hint="eastAsia" w:ascii="Times New Roman" w:hAnsi="Times New Roman" w:eastAsia="仿宋" w:cs="Times New Roman"/>
          <w:color w:val="000000"/>
          <w:sz w:val="32"/>
          <w:szCs w:val="32"/>
          <w:lang w:eastAsia="zh-CN"/>
        </w:rPr>
        <w:t>批次，</w:t>
      </w:r>
      <w:r>
        <w:rPr>
          <w:rFonts w:hint="eastAsia" w:eastAsia="仿宋" w:cs="Times New Roman"/>
          <w:color w:val="000000"/>
          <w:sz w:val="32"/>
          <w:szCs w:val="32"/>
          <w:lang w:val="en-US" w:eastAsia="zh-CN"/>
        </w:rPr>
        <w:t>24</w:t>
      </w:r>
      <w:r>
        <w:rPr>
          <w:rFonts w:hint="eastAsia" w:ascii="Times New Roman" w:hAnsi="Times New Roman" w:eastAsia="仿宋" w:cs="Times New Roman"/>
          <w:color w:val="000000"/>
          <w:sz w:val="32"/>
          <w:szCs w:val="32"/>
          <w:lang w:eastAsia="zh-CN"/>
        </w:rPr>
        <w:t>人次，共计支出</w:t>
      </w:r>
      <w:r>
        <w:rPr>
          <w:rFonts w:hint="eastAsia" w:eastAsia="仿宋" w:cs="Times New Roman"/>
          <w:color w:val="000000"/>
          <w:sz w:val="32"/>
          <w:szCs w:val="32"/>
          <w:lang w:val="en-US" w:eastAsia="zh-CN"/>
        </w:rPr>
        <w:t>0.19</w:t>
      </w:r>
      <w:r>
        <w:rPr>
          <w:rFonts w:hint="eastAsia" w:ascii="Times New Roman" w:hAnsi="Times New Roman" w:eastAsia="仿宋" w:cs="Times New Roman"/>
          <w:color w:val="000000"/>
          <w:sz w:val="32"/>
          <w:szCs w:val="32"/>
          <w:lang w:eastAsia="zh-CN"/>
        </w:rPr>
        <w:t>万元，具体内容包括：接待省、市、县区公共资源交易中心考察调研、学习及交流用餐。</w:t>
      </w:r>
    </w:p>
    <w:p>
      <w:pPr>
        <w:keepNext w:val="0"/>
        <w:keepLines w:val="0"/>
        <w:pageBreakBefore w:val="0"/>
        <w:widowControl w:val="0"/>
        <w:kinsoku/>
        <w:wordWrap/>
        <w:overflowPunct/>
        <w:topLinePunct w:val="0"/>
        <w:autoSpaceDE/>
        <w:autoSpaceDN/>
        <w:bidi w:val="0"/>
        <w:adjustRightInd/>
        <w:spacing w:line="578" w:lineRule="exact"/>
        <w:ind w:firstLine="640"/>
        <w:contextualSpacing/>
        <w:textAlignment w:val="auto"/>
        <w:rPr>
          <w:rFonts w:hint="eastAsia" w:ascii="Times New Roman" w:hAnsi="Times New Roman" w:eastAsia="仿宋" w:cs="Times New Roman"/>
          <w:color w:val="000000"/>
          <w:sz w:val="32"/>
          <w:szCs w:val="32"/>
          <w:lang w:val="en-US" w:eastAsia="zh-CN"/>
        </w:rPr>
      </w:pPr>
      <w:r>
        <w:rPr>
          <w:rFonts w:hint="eastAsia" w:ascii="仿宋" w:hAnsi="仿宋" w:eastAsia="仿宋" w:cs="仿宋"/>
          <w:b/>
          <w:bCs/>
          <w:color w:val="000000"/>
          <w:kern w:val="0"/>
          <w:sz w:val="31"/>
          <w:szCs w:val="31"/>
          <w:lang w:val="en-US" w:eastAsia="zh-CN" w:bidi="ar"/>
        </w:rPr>
        <w:t>外事接待支出</w:t>
      </w:r>
      <w:r>
        <w:rPr>
          <w:rFonts w:hint="eastAsia" w:ascii="仿宋" w:hAnsi="仿宋" w:eastAsia="仿宋" w:cs="仿宋"/>
          <w:color w:val="000000"/>
          <w:kern w:val="0"/>
          <w:sz w:val="31"/>
          <w:szCs w:val="31"/>
          <w:lang w:val="en-US" w:eastAsia="zh-CN" w:bidi="ar"/>
        </w:rPr>
        <w:t xml:space="preserve"> </w:t>
      </w:r>
      <w:r>
        <w:rPr>
          <w:rFonts w:hint="eastAsia" w:ascii="Times New Roman" w:hAnsi="Times New Roman" w:eastAsia="仿宋" w:cs="Times New Roman"/>
          <w:color w:val="000000"/>
          <w:sz w:val="32"/>
          <w:szCs w:val="32"/>
          <w:lang w:val="en-US" w:eastAsia="zh-CN"/>
        </w:rPr>
        <w:t xml:space="preserve">0 万元，外事接待 0 批次，0 人，共计支出 0 万元。 </w:t>
      </w:r>
    </w:p>
    <w:p>
      <w:pPr>
        <w:pStyle w:val="10"/>
        <w:jc w:val="center"/>
        <w:rPr>
          <w:rFonts w:hint="eastAsia"/>
          <w:lang w:val="en-US" w:eastAsia="zh-CN"/>
        </w:rPr>
      </w:pPr>
      <w:r>
        <w:drawing>
          <wp:inline distT="0" distB="0" distL="114300" distR="114300">
            <wp:extent cx="4886325" cy="31623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3"/>
                    <a:stretch>
                      <a:fillRect/>
                    </a:stretch>
                  </pic:blipFill>
                  <pic:spPr>
                    <a:xfrm>
                      <a:off x="0" y="0"/>
                      <a:ext cx="4886325" cy="3162300"/>
                    </a:xfrm>
                    <a:prstGeom prst="rect">
                      <a:avLst/>
                    </a:prstGeom>
                    <a:noFill/>
                    <a:ln>
                      <a:noFill/>
                    </a:ln>
                  </pic:spPr>
                </pic:pic>
              </a:graphicData>
            </a:graphic>
          </wp:inline>
        </w:drawing>
      </w:r>
    </w:p>
    <w:p>
      <w:pPr>
        <w:pStyle w:val="10"/>
        <w:rPr>
          <w:rFonts w:hint="eastAsia"/>
          <w:lang w:val="en-US" w:eastAsia="zh-CN"/>
        </w:rPr>
      </w:pPr>
    </w:p>
    <w:p>
      <w:pPr>
        <w:pStyle w:val="10"/>
        <w:keepNext w:val="0"/>
        <w:keepLines w:val="0"/>
        <w:pageBreakBefore w:val="0"/>
        <w:widowControl w:val="0"/>
        <w:kinsoku/>
        <w:wordWrap/>
        <w:overflowPunct/>
        <w:topLinePunct w:val="0"/>
        <w:autoSpaceDE/>
        <w:autoSpaceDN/>
        <w:bidi w:val="0"/>
        <w:adjustRightInd/>
        <w:spacing w:line="578" w:lineRule="exact"/>
        <w:jc w:val="center"/>
        <w:textAlignment w:val="auto"/>
        <w:rPr>
          <w:rFonts w:hint="eastAsia"/>
          <w:color w:val="000000" w:themeColor="text1"/>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：“三公”经费财政拨款支出结构）</w:t>
      </w:r>
    </w:p>
    <w:p>
      <w:pPr>
        <w:keepNext w:val="0"/>
        <w:keepLines w:val="0"/>
        <w:pageBreakBefore w:val="0"/>
        <w:widowControl w:val="0"/>
        <w:kinsoku/>
        <w:wordWrap/>
        <w:overflowPunct/>
        <w:topLinePunct w:val="0"/>
        <w:autoSpaceDE/>
        <w:autoSpaceDN/>
        <w:bidi w:val="0"/>
        <w:adjustRightInd/>
        <w:spacing w:line="578" w:lineRule="exact"/>
        <w:ind w:firstLine="640"/>
        <w:textAlignment w:val="auto"/>
        <w:outlineLvl w:val="1"/>
        <w:rPr>
          <w:rStyle w:val="40"/>
          <w:rFonts w:ascii="Times New Roman" w:hAnsi="Times New Roman" w:eastAsia="黑体"/>
        </w:rPr>
      </w:pPr>
      <w:bookmarkStart w:id="66" w:name="_Toc14748"/>
      <w:r>
        <w:rPr>
          <w:rFonts w:eastAsia="黑体"/>
          <w:color w:val="000000"/>
          <w:sz w:val="32"/>
          <w:szCs w:val="32"/>
        </w:rPr>
        <w:t>八、</w:t>
      </w:r>
      <w:r>
        <w:rPr>
          <w:rStyle w:val="40"/>
          <w:rFonts w:ascii="Times New Roman" w:hAnsi="Times New Roman" w:eastAsia="黑体"/>
          <w:b w:val="0"/>
        </w:rPr>
        <w:t>政府性基金预算支出决算情况说明</w:t>
      </w:r>
      <w:bookmarkEnd w:id="64"/>
      <w:bookmarkEnd w:id="65"/>
      <w:bookmarkEnd w:id="66"/>
    </w:p>
    <w:p>
      <w:pPr>
        <w:keepNext w:val="0"/>
        <w:keepLines w:val="0"/>
        <w:pageBreakBefore w:val="0"/>
        <w:widowControl w:val="0"/>
        <w:kinsoku/>
        <w:wordWrap/>
        <w:overflowPunct/>
        <w:topLinePunct w:val="0"/>
        <w:autoSpaceDE/>
        <w:autoSpaceDN/>
        <w:bidi w:val="0"/>
        <w:adjustRightInd/>
        <w:spacing w:line="578" w:lineRule="exact"/>
        <w:ind w:firstLine="640"/>
        <w:contextualSpacing/>
        <w:textAlignment w:val="auto"/>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eastAsia="zh-CN"/>
        </w:rPr>
        <w:t>202</w:t>
      </w:r>
      <w:r>
        <w:rPr>
          <w:rFonts w:hint="eastAsia" w:eastAsia="仿宋" w:cs="Times New Roman"/>
          <w:color w:val="000000"/>
          <w:sz w:val="32"/>
          <w:szCs w:val="32"/>
          <w:lang w:val="en-US" w:eastAsia="zh-CN"/>
        </w:rPr>
        <w:t>1</w:t>
      </w:r>
      <w:r>
        <w:rPr>
          <w:rFonts w:hint="eastAsia" w:ascii="Times New Roman" w:hAnsi="Times New Roman" w:eastAsia="仿宋" w:cs="Times New Roman"/>
          <w:color w:val="000000"/>
          <w:sz w:val="32"/>
          <w:szCs w:val="32"/>
          <w:lang w:eastAsia="zh-CN"/>
        </w:rPr>
        <w:t>年政府性基金预算拨款支出0万元。</w:t>
      </w:r>
    </w:p>
    <w:p>
      <w:pPr>
        <w:keepNext w:val="0"/>
        <w:keepLines w:val="0"/>
        <w:pageBreakBefore w:val="0"/>
        <w:widowControl w:val="0"/>
        <w:numPr>
          <w:ilvl w:val="0"/>
          <w:numId w:val="1"/>
        </w:numPr>
        <w:kinsoku/>
        <w:wordWrap/>
        <w:overflowPunct/>
        <w:topLinePunct w:val="0"/>
        <w:autoSpaceDE/>
        <w:autoSpaceDN/>
        <w:bidi w:val="0"/>
        <w:adjustRightInd/>
        <w:spacing w:line="578" w:lineRule="exact"/>
        <w:ind w:firstLine="640"/>
        <w:textAlignment w:val="auto"/>
        <w:outlineLvl w:val="1"/>
        <w:rPr>
          <w:rStyle w:val="40"/>
          <w:rFonts w:ascii="Times New Roman" w:hAnsi="Times New Roman" w:eastAsia="黑体"/>
          <w:b w:val="0"/>
        </w:rPr>
      </w:pPr>
      <w:bookmarkStart w:id="67" w:name="_Toc17934"/>
      <w:bookmarkStart w:id="68" w:name="_Toc15377219"/>
      <w:bookmarkStart w:id="69" w:name="_Toc15396611"/>
      <w:r>
        <w:rPr>
          <w:rStyle w:val="40"/>
          <w:rFonts w:ascii="Times New Roman" w:hAnsi="Times New Roman" w:eastAsia="黑体"/>
          <w:b w:val="0"/>
        </w:rPr>
        <w:t>国有资本经营预算支出决算情况说明</w:t>
      </w:r>
      <w:bookmarkEnd w:id="67"/>
      <w:bookmarkEnd w:id="68"/>
      <w:bookmarkEnd w:id="69"/>
    </w:p>
    <w:p>
      <w:pPr>
        <w:keepNext w:val="0"/>
        <w:keepLines w:val="0"/>
        <w:pageBreakBefore w:val="0"/>
        <w:widowControl w:val="0"/>
        <w:kinsoku/>
        <w:wordWrap/>
        <w:overflowPunct/>
        <w:topLinePunct w:val="0"/>
        <w:autoSpaceDE/>
        <w:autoSpaceDN/>
        <w:bidi w:val="0"/>
        <w:adjustRightInd/>
        <w:spacing w:line="578" w:lineRule="exact"/>
        <w:ind w:firstLine="640"/>
        <w:contextualSpacing/>
        <w:textAlignment w:val="auto"/>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eastAsia="zh-CN"/>
        </w:rPr>
        <w:t>202</w:t>
      </w:r>
      <w:r>
        <w:rPr>
          <w:rFonts w:hint="eastAsia" w:eastAsia="仿宋" w:cs="Times New Roman"/>
          <w:color w:val="000000"/>
          <w:sz w:val="32"/>
          <w:szCs w:val="32"/>
          <w:lang w:val="en-US" w:eastAsia="zh-CN"/>
        </w:rPr>
        <w:t>1</w:t>
      </w:r>
      <w:r>
        <w:rPr>
          <w:rFonts w:hint="eastAsia" w:ascii="Times New Roman" w:hAnsi="Times New Roman" w:eastAsia="仿宋" w:cs="Times New Roman"/>
          <w:color w:val="000000"/>
          <w:sz w:val="32"/>
          <w:szCs w:val="32"/>
          <w:lang w:eastAsia="zh-CN"/>
        </w:rPr>
        <w:t>年国有资本经营预算拨款支出0万元。</w:t>
      </w:r>
    </w:p>
    <w:p>
      <w:pPr>
        <w:keepNext w:val="0"/>
        <w:keepLines w:val="0"/>
        <w:pageBreakBefore w:val="0"/>
        <w:widowControl w:val="0"/>
        <w:kinsoku/>
        <w:wordWrap/>
        <w:overflowPunct/>
        <w:topLinePunct w:val="0"/>
        <w:autoSpaceDE/>
        <w:autoSpaceDN/>
        <w:bidi w:val="0"/>
        <w:adjustRightInd/>
        <w:spacing w:line="578" w:lineRule="exact"/>
        <w:ind w:firstLine="800" w:firstLineChars="250"/>
        <w:textAlignment w:val="auto"/>
        <w:outlineLvl w:val="1"/>
        <w:rPr>
          <w:rStyle w:val="40"/>
          <w:rFonts w:ascii="Times New Roman" w:hAnsi="Times New Roman" w:eastAsia="黑体"/>
        </w:rPr>
      </w:pPr>
      <w:bookmarkStart w:id="70" w:name="_Toc13655"/>
      <w:bookmarkStart w:id="71" w:name="_Toc15396612"/>
      <w:bookmarkStart w:id="72" w:name="_Toc15377221"/>
      <w:r>
        <w:rPr>
          <w:rFonts w:eastAsia="黑体"/>
          <w:color w:val="000000"/>
          <w:sz w:val="32"/>
          <w:szCs w:val="32"/>
        </w:rPr>
        <w:t>十</w:t>
      </w:r>
      <w:r>
        <w:rPr>
          <w:rStyle w:val="40"/>
          <w:rFonts w:ascii="Times New Roman" w:hAnsi="Times New Roman" w:eastAsia="黑体"/>
        </w:rPr>
        <w:t>、</w:t>
      </w:r>
      <w:r>
        <w:rPr>
          <w:rStyle w:val="40"/>
          <w:rFonts w:ascii="Times New Roman" w:hAnsi="Times New Roman" w:eastAsia="黑体"/>
          <w:b w:val="0"/>
        </w:rPr>
        <w:t>其他重要事项的情况说明</w:t>
      </w:r>
      <w:bookmarkEnd w:id="70"/>
      <w:bookmarkEnd w:id="71"/>
      <w:bookmarkEnd w:id="72"/>
    </w:p>
    <w:p>
      <w:pPr>
        <w:pageBreakBefore w:val="0"/>
        <w:kinsoku/>
        <w:wordWrap/>
        <w:overflowPunct/>
        <w:topLinePunct w:val="0"/>
        <w:bidi w:val="0"/>
        <w:snapToGrid/>
        <w:spacing w:line="578" w:lineRule="exact"/>
        <w:ind w:firstLine="640" w:firstLineChars="200"/>
        <w:textAlignment w:val="auto"/>
        <w:rPr>
          <w:rFonts w:hint="eastAsia" w:ascii="Times New Roman" w:hAnsi="Times New Roman" w:eastAsia="楷体_GB2312" w:cs="Times New Roman"/>
          <w:kern w:val="0"/>
          <w:sz w:val="32"/>
          <w:szCs w:val="32"/>
          <w:shd w:val="clear" w:color="auto" w:fill="FFFFFF"/>
          <w:lang w:val="en-US" w:eastAsia="zh-CN" w:bidi="ar-SA"/>
        </w:rPr>
      </w:pPr>
      <w:bookmarkStart w:id="73" w:name="_Toc15377222"/>
      <w:r>
        <w:rPr>
          <w:rFonts w:hint="eastAsia" w:ascii="Times New Roman" w:hAnsi="Times New Roman" w:eastAsia="楷体_GB2312" w:cs="Times New Roman"/>
          <w:kern w:val="0"/>
          <w:sz w:val="32"/>
          <w:szCs w:val="32"/>
          <w:shd w:val="clear" w:color="auto" w:fill="FFFFFF"/>
          <w:lang w:val="en-US" w:eastAsia="zh-CN" w:bidi="ar-SA"/>
        </w:rPr>
        <w:t>（一）机关运行经费支出情况</w:t>
      </w:r>
      <w:bookmarkEnd w:id="73"/>
    </w:p>
    <w:p>
      <w:pPr>
        <w:keepNext w:val="0"/>
        <w:keepLines w:val="0"/>
        <w:pageBreakBefore w:val="0"/>
        <w:widowControl w:val="0"/>
        <w:kinsoku/>
        <w:wordWrap/>
        <w:overflowPunct/>
        <w:topLinePunct w:val="0"/>
        <w:autoSpaceDE/>
        <w:autoSpaceDN/>
        <w:bidi w:val="0"/>
        <w:adjustRightInd/>
        <w:spacing w:line="578" w:lineRule="exact"/>
        <w:ind w:firstLine="640"/>
        <w:contextualSpacing/>
        <w:textAlignment w:val="auto"/>
        <w:rPr>
          <w:rFonts w:hint="eastAsia" w:ascii="Times New Roman" w:hAnsi="Times New Roman" w:eastAsia="仿宋" w:cs="Times New Roman"/>
          <w:color w:val="000000"/>
          <w:sz w:val="32"/>
          <w:szCs w:val="32"/>
          <w:lang w:eastAsia="zh-CN"/>
        </w:rPr>
      </w:pPr>
      <w:bookmarkStart w:id="74" w:name="_Toc15377223"/>
      <w:r>
        <w:rPr>
          <w:rFonts w:hint="eastAsia" w:ascii="Times New Roman" w:hAnsi="Times New Roman" w:eastAsia="仿宋" w:cs="Times New Roman"/>
          <w:color w:val="000000"/>
          <w:sz w:val="32"/>
          <w:szCs w:val="32"/>
          <w:lang w:eastAsia="zh-CN"/>
        </w:rPr>
        <w:t>无机关运行经费支出。</w:t>
      </w:r>
    </w:p>
    <w:p>
      <w:pPr>
        <w:pageBreakBefore w:val="0"/>
        <w:kinsoku/>
        <w:wordWrap/>
        <w:overflowPunct/>
        <w:topLinePunct w:val="0"/>
        <w:bidi w:val="0"/>
        <w:snapToGrid/>
        <w:spacing w:line="578" w:lineRule="exact"/>
        <w:ind w:firstLine="640" w:firstLineChars="200"/>
        <w:textAlignment w:val="auto"/>
        <w:rPr>
          <w:rFonts w:hint="eastAsia" w:ascii="Times New Roman" w:hAnsi="Times New Roman" w:eastAsia="楷体_GB2312" w:cs="Times New Roman"/>
          <w:kern w:val="0"/>
          <w:sz w:val="32"/>
          <w:szCs w:val="32"/>
          <w:shd w:val="clear" w:color="auto" w:fill="FFFFFF"/>
          <w:lang w:val="en-US" w:eastAsia="zh-CN" w:bidi="ar-SA"/>
        </w:rPr>
      </w:pPr>
      <w:r>
        <w:rPr>
          <w:rFonts w:hint="eastAsia" w:ascii="Times New Roman" w:hAnsi="Times New Roman" w:eastAsia="楷体_GB2312" w:cs="Times New Roman"/>
          <w:kern w:val="0"/>
          <w:sz w:val="32"/>
          <w:szCs w:val="32"/>
          <w:shd w:val="clear" w:color="auto" w:fill="FFFFFF"/>
          <w:lang w:val="en-US" w:eastAsia="zh-CN" w:bidi="ar-SA"/>
        </w:rPr>
        <w:t>（二）政府采购支出情况</w:t>
      </w:r>
      <w:bookmarkEnd w:id="74"/>
    </w:p>
    <w:p>
      <w:pPr>
        <w:keepNext w:val="0"/>
        <w:keepLines w:val="0"/>
        <w:pageBreakBefore w:val="0"/>
        <w:widowControl w:val="0"/>
        <w:kinsoku/>
        <w:wordWrap/>
        <w:overflowPunct/>
        <w:topLinePunct w:val="0"/>
        <w:autoSpaceDE/>
        <w:autoSpaceDN/>
        <w:bidi w:val="0"/>
        <w:adjustRightInd/>
        <w:spacing w:line="578" w:lineRule="exact"/>
        <w:ind w:firstLine="640"/>
        <w:contextualSpacing/>
        <w:textAlignment w:val="auto"/>
        <w:rPr>
          <w:rFonts w:hint="eastAsia" w:ascii="Times New Roman" w:hAnsi="Times New Roman" w:eastAsia="仿宋" w:cs="Times New Roman"/>
          <w:color w:val="000000"/>
          <w:sz w:val="32"/>
          <w:szCs w:val="32"/>
          <w:lang w:eastAsia="zh-CN"/>
        </w:rPr>
      </w:pPr>
      <w:bookmarkStart w:id="75" w:name="_Toc15377224"/>
      <w:r>
        <w:rPr>
          <w:rFonts w:ascii="Times New Roman" w:hAnsi="Times New Roman" w:eastAsia="仿宋" w:cs="Times New Roman"/>
          <w:color w:val="000000"/>
          <w:sz w:val="32"/>
          <w:szCs w:val="32"/>
        </w:rPr>
        <w:t>202</w:t>
      </w:r>
      <w:r>
        <w:rPr>
          <w:rFonts w:hint="eastAsia" w:eastAsia="仿宋" w:cs="Times New Roman"/>
          <w:color w:val="000000"/>
          <w:sz w:val="32"/>
          <w:szCs w:val="32"/>
          <w:lang w:val="en-US" w:eastAsia="zh-CN"/>
        </w:rPr>
        <w:t>1</w:t>
      </w:r>
      <w:r>
        <w:rPr>
          <w:rFonts w:hint="eastAsia" w:ascii="Times New Roman" w:hAnsi="Times New Roman" w:eastAsia="仿宋" w:cs="Times New Roman"/>
          <w:color w:val="000000"/>
          <w:sz w:val="32"/>
          <w:szCs w:val="32"/>
        </w:rPr>
        <w:t>年，泸</w:t>
      </w:r>
      <w:r>
        <w:rPr>
          <w:rFonts w:hint="eastAsia" w:ascii="Times New Roman" w:hAnsi="Times New Roman" w:eastAsia="仿宋" w:cs="Times New Roman"/>
          <w:color w:val="000000"/>
          <w:sz w:val="32"/>
          <w:szCs w:val="32"/>
          <w:lang w:eastAsia="zh-CN"/>
        </w:rPr>
        <w:t>县</w:t>
      </w:r>
      <w:r>
        <w:rPr>
          <w:rFonts w:ascii="Times New Roman" w:hAnsi="Times New Roman" w:eastAsia="仿宋" w:cs="Times New Roman"/>
          <w:color w:val="000000"/>
          <w:sz w:val="32"/>
          <w:szCs w:val="32"/>
        </w:rPr>
        <w:t>公共资源交易中心</w:t>
      </w:r>
      <w:r>
        <w:rPr>
          <w:rFonts w:hint="eastAsia" w:ascii="Times New Roman" w:hAnsi="Times New Roman" w:eastAsia="仿宋" w:cs="Times New Roman"/>
          <w:color w:val="000000"/>
          <w:sz w:val="32"/>
          <w:szCs w:val="32"/>
        </w:rPr>
        <w:t>政府采购支出总额</w:t>
      </w:r>
      <w:r>
        <w:rPr>
          <w:rFonts w:hint="eastAsia" w:eastAsia="仿宋" w:cs="Times New Roman"/>
          <w:color w:val="000000"/>
          <w:sz w:val="32"/>
          <w:szCs w:val="32"/>
          <w:lang w:val="en-US" w:eastAsia="zh-CN"/>
        </w:rPr>
        <w:t>9.56</w:t>
      </w:r>
      <w:r>
        <w:rPr>
          <w:rFonts w:hint="eastAsia" w:ascii="Times New Roman" w:hAnsi="Times New Roman" w:eastAsia="仿宋" w:cs="Times New Roman"/>
          <w:color w:val="000000"/>
          <w:sz w:val="32"/>
          <w:szCs w:val="32"/>
        </w:rPr>
        <w:t>万元，其中：政府采购货物支出</w:t>
      </w:r>
      <w:r>
        <w:rPr>
          <w:rFonts w:hint="eastAsia" w:eastAsia="仿宋" w:cs="Times New Roman"/>
          <w:color w:val="000000"/>
          <w:sz w:val="32"/>
          <w:szCs w:val="32"/>
          <w:lang w:val="en-US" w:eastAsia="zh-CN"/>
        </w:rPr>
        <w:t>9.38</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rPr>
        <w:t>主要用于评标设备购置</w:t>
      </w:r>
      <w:r>
        <w:rPr>
          <w:rFonts w:hint="eastAsia" w:ascii="Times New Roman" w:hAnsi="Times New Roman" w:eastAsia="仿宋" w:cs="Times New Roman"/>
          <w:color w:val="000000"/>
          <w:sz w:val="32"/>
          <w:szCs w:val="32"/>
          <w:lang w:eastAsia="zh-CN"/>
        </w:rPr>
        <w:t>费用</w:t>
      </w:r>
      <w:r>
        <w:rPr>
          <w:rFonts w:hint="eastAsia" w:eastAsia="仿宋" w:cs="Times New Roman"/>
          <w:color w:val="000000"/>
          <w:sz w:val="32"/>
          <w:szCs w:val="32"/>
          <w:lang w:eastAsia="zh-CN"/>
        </w:rPr>
        <w:t>，</w:t>
      </w:r>
      <w:r>
        <w:rPr>
          <w:rFonts w:hint="eastAsia" w:ascii="Times New Roman" w:hAnsi="Times New Roman" w:eastAsia="仿宋" w:cs="Times New Roman"/>
          <w:color w:val="000000"/>
          <w:sz w:val="32"/>
          <w:szCs w:val="32"/>
        </w:rPr>
        <w:t>占政府采购支出总额的</w:t>
      </w:r>
      <w:r>
        <w:rPr>
          <w:rFonts w:hint="eastAsia" w:eastAsia="仿宋" w:cs="Times New Roman"/>
          <w:color w:val="000000"/>
          <w:sz w:val="32"/>
          <w:szCs w:val="32"/>
          <w:lang w:val="en-US" w:eastAsia="zh-CN"/>
        </w:rPr>
        <w:t>98.12</w:t>
      </w: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w:t>
      </w:r>
    </w:p>
    <w:p>
      <w:pPr>
        <w:pageBreakBefore w:val="0"/>
        <w:kinsoku/>
        <w:wordWrap/>
        <w:overflowPunct/>
        <w:topLinePunct w:val="0"/>
        <w:bidi w:val="0"/>
        <w:snapToGrid/>
        <w:spacing w:line="578" w:lineRule="exact"/>
        <w:ind w:firstLine="640" w:firstLineChars="200"/>
        <w:textAlignment w:val="auto"/>
        <w:rPr>
          <w:rFonts w:hint="eastAsia" w:ascii="Times New Roman" w:hAnsi="Times New Roman" w:eastAsia="楷体_GB2312" w:cs="Times New Roman"/>
          <w:kern w:val="0"/>
          <w:sz w:val="32"/>
          <w:szCs w:val="32"/>
          <w:shd w:val="clear" w:color="auto" w:fill="FFFFFF"/>
          <w:lang w:val="en-US" w:eastAsia="zh-CN" w:bidi="ar-SA"/>
        </w:rPr>
      </w:pPr>
      <w:r>
        <w:rPr>
          <w:rFonts w:hint="eastAsia" w:ascii="Times New Roman" w:hAnsi="Times New Roman" w:eastAsia="楷体_GB2312" w:cs="Times New Roman"/>
          <w:kern w:val="0"/>
          <w:sz w:val="32"/>
          <w:szCs w:val="32"/>
          <w:shd w:val="clear" w:color="auto" w:fill="FFFFFF"/>
          <w:lang w:val="en-US" w:eastAsia="zh-CN" w:bidi="ar-SA"/>
        </w:rPr>
        <w:t>（三）国有资产占有使用情况</w:t>
      </w:r>
      <w:bookmarkEnd w:id="75"/>
    </w:p>
    <w:p>
      <w:pPr>
        <w:keepNext w:val="0"/>
        <w:keepLines w:val="0"/>
        <w:pageBreakBefore w:val="0"/>
        <w:widowControl w:val="0"/>
        <w:kinsoku/>
        <w:wordWrap/>
        <w:overflowPunct/>
        <w:topLinePunct w:val="0"/>
        <w:autoSpaceDE/>
        <w:autoSpaceDN/>
        <w:bidi w:val="0"/>
        <w:adjustRightInd/>
        <w:spacing w:line="578" w:lineRule="exact"/>
        <w:ind w:firstLine="640"/>
        <w:contextualSpacing/>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截至202</w:t>
      </w:r>
      <w:r>
        <w:rPr>
          <w:rFonts w:hint="eastAsia" w:eastAsia="仿宋" w:cs="Times New Roman"/>
          <w:color w:val="000000"/>
          <w:sz w:val="32"/>
          <w:szCs w:val="32"/>
          <w:lang w:val="en-US" w:eastAsia="zh-CN"/>
        </w:rPr>
        <w:t>1</w:t>
      </w:r>
      <w:r>
        <w:rPr>
          <w:rFonts w:ascii="Times New Roman" w:hAnsi="Times New Roman" w:eastAsia="仿宋" w:cs="Times New Roman"/>
          <w:color w:val="000000"/>
          <w:sz w:val="32"/>
          <w:szCs w:val="32"/>
        </w:rPr>
        <w:t>年12月31日，</w:t>
      </w:r>
      <w:r>
        <w:rPr>
          <w:rFonts w:hint="eastAsia" w:ascii="Times New Roman" w:hAnsi="Times New Roman" w:eastAsia="仿宋" w:cs="Times New Roman"/>
          <w:color w:val="000000"/>
          <w:sz w:val="32"/>
          <w:szCs w:val="32"/>
        </w:rPr>
        <w:t>泸</w:t>
      </w:r>
      <w:r>
        <w:rPr>
          <w:rFonts w:hint="eastAsia" w:ascii="Times New Roman" w:hAnsi="Times New Roman" w:eastAsia="仿宋" w:cs="Times New Roman"/>
          <w:color w:val="000000"/>
          <w:sz w:val="32"/>
          <w:szCs w:val="32"/>
          <w:lang w:eastAsia="zh-CN"/>
        </w:rPr>
        <w:t>县</w:t>
      </w:r>
      <w:r>
        <w:rPr>
          <w:rFonts w:ascii="Times New Roman" w:hAnsi="Times New Roman" w:eastAsia="仿宋" w:cs="Times New Roman"/>
          <w:color w:val="000000"/>
          <w:sz w:val="32"/>
          <w:szCs w:val="32"/>
        </w:rPr>
        <w:t>公共资源交易中心共有车辆1辆，其中：其他用车1辆，主要是用于中心日常交易服务等所需的公务用车燃料费、维修费、过路过桥费、保险费等支出。无单价50万元以上通用设备，无单价100万元以上专用设备。</w:t>
      </w:r>
    </w:p>
    <w:p>
      <w:pPr>
        <w:pageBreakBefore w:val="0"/>
        <w:kinsoku/>
        <w:wordWrap/>
        <w:overflowPunct/>
        <w:topLinePunct w:val="0"/>
        <w:bidi w:val="0"/>
        <w:snapToGrid/>
        <w:spacing w:line="578" w:lineRule="exact"/>
        <w:ind w:firstLine="640" w:firstLineChars="200"/>
        <w:textAlignment w:val="auto"/>
        <w:rPr>
          <w:rFonts w:hint="eastAsia" w:ascii="Times New Roman" w:hAnsi="Times New Roman" w:eastAsia="楷体_GB2312" w:cs="Times New Roman"/>
          <w:kern w:val="0"/>
          <w:sz w:val="32"/>
          <w:szCs w:val="32"/>
          <w:shd w:val="clear" w:color="auto" w:fill="FFFFFF"/>
          <w:lang w:val="en-US" w:eastAsia="zh-CN" w:bidi="ar-SA"/>
        </w:rPr>
      </w:pPr>
      <w:bookmarkStart w:id="76" w:name="_Toc51763425"/>
      <w:r>
        <w:rPr>
          <w:rFonts w:hint="eastAsia" w:eastAsia="楷体_GB2312" w:cs="Times New Roman"/>
          <w:kern w:val="0"/>
          <w:sz w:val="32"/>
          <w:szCs w:val="32"/>
          <w:shd w:val="clear" w:color="auto" w:fill="FFFFFF"/>
          <w:lang w:val="en-US" w:eastAsia="zh-CN" w:bidi="ar-SA"/>
        </w:rPr>
        <w:t>（四）</w:t>
      </w:r>
      <w:r>
        <w:rPr>
          <w:rFonts w:hint="eastAsia" w:ascii="Times New Roman" w:hAnsi="Times New Roman" w:eastAsia="楷体_GB2312" w:cs="Times New Roman"/>
          <w:kern w:val="0"/>
          <w:sz w:val="32"/>
          <w:szCs w:val="32"/>
          <w:shd w:val="clear" w:color="auto" w:fill="FFFFFF"/>
          <w:lang w:val="en-US" w:eastAsia="zh-CN" w:bidi="ar-SA"/>
        </w:rPr>
        <w:t>预算绩效管理情况</w:t>
      </w:r>
      <w:bookmarkEnd w:id="76"/>
    </w:p>
    <w:p>
      <w:pPr>
        <w:keepNext w:val="0"/>
        <w:keepLines w:val="0"/>
        <w:pageBreakBefore w:val="0"/>
        <w:widowControl w:val="0"/>
        <w:kinsoku/>
        <w:wordWrap/>
        <w:overflowPunct/>
        <w:topLinePunct w:val="0"/>
        <w:autoSpaceDE/>
        <w:autoSpaceDN/>
        <w:bidi w:val="0"/>
        <w:adjustRightInd/>
        <w:spacing w:line="578" w:lineRule="exact"/>
        <w:ind w:firstLine="640"/>
        <w:contextualSpacing/>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根据预算绩效管理要求，</w:t>
      </w:r>
      <w:r>
        <w:rPr>
          <w:rFonts w:hint="eastAsia" w:ascii="Times New Roman" w:hAnsi="Times New Roman" w:eastAsia="仿宋" w:cs="Times New Roman"/>
          <w:color w:val="000000"/>
          <w:sz w:val="32"/>
          <w:szCs w:val="32"/>
        </w:rPr>
        <w:t>本单位</w:t>
      </w:r>
      <w:r>
        <w:rPr>
          <w:rFonts w:ascii="Times New Roman" w:hAnsi="Times New Roman" w:eastAsia="仿宋" w:cs="Times New Roman"/>
          <w:color w:val="000000"/>
          <w:sz w:val="32"/>
          <w:szCs w:val="32"/>
        </w:rPr>
        <w:t>在年初预算编制阶段，对</w:t>
      </w:r>
      <w:r>
        <w:rPr>
          <w:rFonts w:hint="eastAsia" w:ascii="Times New Roman" w:hAnsi="Times New Roman" w:eastAsia="仿宋" w:cs="Times New Roman"/>
          <w:color w:val="000000"/>
          <w:sz w:val="32"/>
          <w:szCs w:val="32"/>
          <w:lang w:val="en-US" w:eastAsia="zh-CN"/>
        </w:rPr>
        <w:t>2</w:t>
      </w:r>
      <w:r>
        <w:rPr>
          <w:rFonts w:ascii="Times New Roman" w:hAnsi="Times New Roman" w:eastAsia="仿宋" w:cs="Times New Roman"/>
          <w:color w:val="000000"/>
          <w:sz w:val="32"/>
          <w:szCs w:val="32"/>
        </w:rPr>
        <w:t>个项目编制了绩效目标，预算执行过程中，选取</w:t>
      </w:r>
      <w:r>
        <w:rPr>
          <w:rFonts w:hint="eastAsia" w:ascii="Times New Roman" w:hAnsi="Times New Roman" w:eastAsia="仿宋" w:cs="Times New Roman"/>
          <w:color w:val="000000"/>
          <w:sz w:val="32"/>
          <w:szCs w:val="32"/>
          <w:lang w:val="en-US" w:eastAsia="zh-CN"/>
        </w:rPr>
        <w:t>2</w:t>
      </w:r>
      <w:r>
        <w:rPr>
          <w:rFonts w:ascii="Times New Roman" w:hAnsi="Times New Roman" w:eastAsia="仿宋" w:cs="Times New Roman"/>
          <w:color w:val="000000"/>
          <w:sz w:val="32"/>
          <w:szCs w:val="32"/>
        </w:rPr>
        <w:t>个项目开展绩效监控，年终执行完毕后，对</w:t>
      </w:r>
      <w:r>
        <w:rPr>
          <w:rFonts w:hint="eastAsia" w:ascii="Times New Roman" w:hAnsi="Times New Roman" w:eastAsia="仿宋" w:cs="Times New Roman"/>
          <w:color w:val="000000"/>
          <w:sz w:val="32"/>
          <w:szCs w:val="32"/>
          <w:lang w:val="en-US" w:eastAsia="zh-CN"/>
        </w:rPr>
        <w:t>2</w:t>
      </w:r>
      <w:r>
        <w:rPr>
          <w:rFonts w:ascii="Times New Roman" w:hAnsi="Times New Roman" w:eastAsia="仿宋" w:cs="Times New Roman"/>
          <w:color w:val="000000"/>
          <w:sz w:val="32"/>
          <w:szCs w:val="32"/>
        </w:rPr>
        <w:t>个项目开展了绩效目标完成情况自评。</w:t>
      </w:r>
    </w:p>
    <w:p>
      <w:pPr>
        <w:keepNext w:val="0"/>
        <w:keepLines w:val="0"/>
        <w:pageBreakBefore w:val="0"/>
        <w:widowControl w:val="0"/>
        <w:kinsoku/>
        <w:wordWrap/>
        <w:overflowPunct/>
        <w:topLinePunct w:val="0"/>
        <w:autoSpaceDE/>
        <w:autoSpaceDN/>
        <w:bidi w:val="0"/>
        <w:adjustRightInd/>
        <w:spacing w:line="578" w:lineRule="exact"/>
        <w:ind w:firstLine="640"/>
        <w:contextualSpacing/>
        <w:textAlignment w:val="auto"/>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本单位</w:t>
      </w:r>
      <w:r>
        <w:rPr>
          <w:rFonts w:ascii="Times New Roman" w:hAnsi="Times New Roman" w:eastAsia="仿宋" w:cs="Times New Roman"/>
          <w:color w:val="000000"/>
          <w:sz w:val="32"/>
          <w:szCs w:val="32"/>
        </w:rPr>
        <w:t>按要求对202</w:t>
      </w:r>
      <w:r>
        <w:rPr>
          <w:rFonts w:hint="eastAsia" w:eastAsia="仿宋" w:cs="Times New Roman"/>
          <w:color w:val="000000"/>
          <w:sz w:val="32"/>
          <w:szCs w:val="32"/>
          <w:lang w:val="en-US" w:eastAsia="zh-CN"/>
        </w:rPr>
        <w:t>1</w:t>
      </w:r>
      <w:r>
        <w:rPr>
          <w:rFonts w:ascii="Times New Roman" w:hAnsi="Times New Roman" w:eastAsia="仿宋" w:cs="Times New Roman"/>
          <w:color w:val="000000"/>
          <w:sz w:val="32"/>
          <w:szCs w:val="32"/>
        </w:rPr>
        <w:t>年</w:t>
      </w:r>
      <w:r>
        <w:rPr>
          <w:rFonts w:hint="eastAsia" w:ascii="Times New Roman" w:hAnsi="Times New Roman" w:eastAsia="仿宋" w:cs="Times New Roman"/>
          <w:color w:val="000000"/>
          <w:sz w:val="32"/>
          <w:szCs w:val="32"/>
        </w:rPr>
        <w:t>部门</w:t>
      </w:r>
      <w:r>
        <w:rPr>
          <w:rFonts w:ascii="Times New Roman" w:hAnsi="Times New Roman" w:eastAsia="仿宋" w:cs="Times New Roman"/>
          <w:color w:val="000000"/>
          <w:sz w:val="32"/>
          <w:szCs w:val="32"/>
        </w:rPr>
        <w:t>整体支出开展绩效自评，从评价情况来看，202</w:t>
      </w:r>
      <w:r>
        <w:rPr>
          <w:rFonts w:hint="eastAsia" w:eastAsia="仿宋" w:cs="Times New Roman"/>
          <w:color w:val="000000"/>
          <w:sz w:val="32"/>
          <w:szCs w:val="32"/>
          <w:lang w:val="en-US" w:eastAsia="zh-CN"/>
        </w:rPr>
        <w:t>1</w:t>
      </w:r>
      <w:r>
        <w:rPr>
          <w:rFonts w:ascii="Times New Roman" w:hAnsi="Times New Roman" w:eastAsia="仿宋" w:cs="Times New Roman"/>
          <w:color w:val="000000"/>
          <w:sz w:val="32"/>
          <w:szCs w:val="32"/>
        </w:rPr>
        <w:t>年整体支出绩效评价结果良好</w:t>
      </w:r>
      <w:r>
        <w:rPr>
          <w:rFonts w:hint="eastAsia" w:ascii="Times New Roman" w:hAnsi="Times New Roman" w:eastAsia="仿宋" w:cs="Times New Roman"/>
          <w:color w:val="000000"/>
          <w:sz w:val="32"/>
          <w:szCs w:val="32"/>
        </w:rPr>
        <w:t>。</w:t>
      </w:r>
      <w:r>
        <w:rPr>
          <w:rFonts w:ascii="Times New Roman" w:hAnsi="Times New Roman" w:eastAsia="仿宋" w:cs="Times New Roman"/>
          <w:color w:val="000000"/>
          <w:sz w:val="32"/>
          <w:szCs w:val="32"/>
        </w:rPr>
        <w:t>全年支出保证了单位的正常运行和日常工作的正常开展</w:t>
      </w:r>
      <w:r>
        <w:rPr>
          <w:rFonts w:hint="eastAsia" w:ascii="Times New Roman" w:hAnsi="Times New Roman" w:eastAsia="仿宋" w:cs="Times New Roman"/>
          <w:color w:val="000000"/>
          <w:sz w:val="32"/>
          <w:szCs w:val="32"/>
        </w:rPr>
        <w:t>，</w:t>
      </w:r>
      <w:r>
        <w:rPr>
          <w:rFonts w:ascii="Times New Roman" w:hAnsi="Times New Roman" w:eastAsia="仿宋" w:cs="Times New Roman"/>
          <w:color w:val="000000"/>
          <w:sz w:val="32"/>
          <w:szCs w:val="32"/>
        </w:rPr>
        <w:t>项目支出保障了重点工作的开展。</w:t>
      </w:r>
      <w:r>
        <w:rPr>
          <w:rFonts w:hint="eastAsia" w:ascii="Times New Roman" w:hAnsi="Times New Roman" w:eastAsia="仿宋" w:cs="Times New Roman"/>
          <w:color w:val="000000"/>
          <w:sz w:val="32"/>
          <w:szCs w:val="32"/>
        </w:rPr>
        <w:t>本单位还自行组织了</w:t>
      </w:r>
      <w:r>
        <w:rPr>
          <w:rFonts w:hint="eastAsia" w:ascii="Times New Roman" w:hAnsi="Times New Roman" w:eastAsia="仿宋" w:cs="Times New Roman"/>
          <w:color w:val="000000"/>
          <w:sz w:val="32"/>
          <w:szCs w:val="32"/>
          <w:lang w:val="en-US" w:eastAsia="zh-CN"/>
        </w:rPr>
        <w:t>2</w:t>
      </w:r>
      <w:r>
        <w:rPr>
          <w:rFonts w:hint="eastAsia" w:ascii="Times New Roman" w:hAnsi="Times New Roman" w:eastAsia="仿宋" w:cs="Times New Roman"/>
          <w:color w:val="000000"/>
          <w:sz w:val="32"/>
          <w:szCs w:val="32"/>
        </w:rPr>
        <w:t>个项目支出绩效评价，从评价情况来看</w:t>
      </w: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rPr>
        <w:t>项目支出绩效评价结果良好。</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olor w:val="000000"/>
          <w:sz w:val="32"/>
          <w:szCs w:val="32"/>
        </w:rPr>
        <w:t>我中心在202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年度部门决算中反映“</w:t>
      </w:r>
      <w:r>
        <w:rPr>
          <w:rFonts w:hint="eastAsia" w:ascii="仿宋" w:hAnsi="仿宋" w:eastAsia="仿宋"/>
          <w:color w:val="000000"/>
          <w:sz w:val="32"/>
          <w:szCs w:val="32"/>
          <w:lang w:eastAsia="zh-CN"/>
        </w:rPr>
        <w:t>专家评审</w:t>
      </w:r>
      <w:r>
        <w:rPr>
          <w:rFonts w:hint="eastAsia" w:ascii="仿宋" w:hAnsi="仿宋" w:eastAsia="仿宋"/>
          <w:color w:val="000000"/>
          <w:sz w:val="32"/>
          <w:szCs w:val="32"/>
        </w:rPr>
        <w:t>费</w:t>
      </w:r>
      <w:r>
        <w:rPr>
          <w:rFonts w:ascii="仿宋" w:hAnsi="仿宋" w:eastAsia="仿宋"/>
          <w:color w:val="000000"/>
          <w:sz w:val="32"/>
          <w:szCs w:val="32"/>
        </w:rPr>
        <w:t>”</w:t>
      </w:r>
      <w:r>
        <w:rPr>
          <w:rFonts w:hint="eastAsia" w:ascii="仿宋" w:hAnsi="仿宋" w:eastAsia="仿宋"/>
          <w:color w:val="000000"/>
          <w:sz w:val="32"/>
          <w:szCs w:val="32"/>
        </w:rPr>
        <w:t xml:space="preserve">     </w:t>
      </w:r>
      <w:r>
        <w:rPr>
          <w:rFonts w:ascii="仿宋" w:hAnsi="仿宋" w:eastAsia="仿宋"/>
          <w:color w:val="000000"/>
          <w:sz w:val="32"/>
          <w:szCs w:val="32"/>
        </w:rPr>
        <w:t>“</w:t>
      </w:r>
      <w:r>
        <w:rPr>
          <w:rFonts w:hint="eastAsia" w:ascii="仿宋" w:hAnsi="仿宋" w:eastAsia="仿宋"/>
          <w:color w:val="000000"/>
          <w:sz w:val="32"/>
          <w:szCs w:val="32"/>
        </w:rPr>
        <w:t>公共资源交易业务运行经费</w:t>
      </w:r>
      <w:r>
        <w:rPr>
          <w:rFonts w:ascii="仿宋" w:hAnsi="仿宋" w:eastAsia="仿宋"/>
          <w:color w:val="000000"/>
          <w:sz w:val="32"/>
          <w:szCs w:val="32"/>
        </w:rPr>
        <w:t>”</w:t>
      </w:r>
      <w:r>
        <w:rPr>
          <w:rFonts w:hint="eastAsia" w:ascii="仿宋" w:hAnsi="仿宋" w:eastAsia="仿宋"/>
          <w:color w:val="000000"/>
          <w:sz w:val="32"/>
          <w:szCs w:val="32"/>
        </w:rPr>
        <w:t>等2个项目绩效目标实际完成情况。</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 w:hAnsi="仿宋" w:eastAsia="仿宋"/>
          <w:color w:val="000000"/>
          <w:sz w:val="32"/>
          <w:szCs w:val="32"/>
        </w:rPr>
      </w:pPr>
      <w:r>
        <w:rPr>
          <w:rFonts w:hint="eastAsia" w:ascii="仿宋_GB2312" w:hAnsi="仿宋_GB2312" w:eastAsia="仿宋_GB2312" w:cs="仿宋_GB2312"/>
          <w:sz w:val="32"/>
          <w:szCs w:val="32"/>
        </w:rPr>
        <w:t>（1）</w:t>
      </w:r>
      <w:r>
        <w:rPr>
          <w:rFonts w:hint="eastAsia" w:ascii="Times New Roman" w:hAnsi="Times New Roman" w:eastAsia="仿宋" w:cs="Times New Roman"/>
          <w:color w:val="000000"/>
          <w:sz w:val="32"/>
          <w:szCs w:val="32"/>
          <w:lang w:eastAsia="zh-CN"/>
        </w:rPr>
        <w:t>专家评审</w:t>
      </w:r>
      <w:r>
        <w:rPr>
          <w:rFonts w:hint="eastAsia" w:ascii="仿宋_GB2312" w:hAnsi="仿宋_GB2312" w:eastAsia="仿宋_GB2312" w:cs="仿宋_GB2312"/>
          <w:sz w:val="32"/>
          <w:szCs w:val="32"/>
        </w:rPr>
        <w:t>费项目绩效目标完成情况综述。</w:t>
      </w:r>
      <w:r>
        <w:rPr>
          <w:rFonts w:hint="eastAsia" w:ascii="仿宋" w:hAnsi="仿宋" w:eastAsia="仿宋"/>
          <w:color w:val="000000"/>
          <w:sz w:val="32"/>
          <w:szCs w:val="32"/>
        </w:rPr>
        <w:t>项目全年预算数</w:t>
      </w:r>
      <w:r>
        <w:rPr>
          <w:rFonts w:hint="eastAsia" w:ascii="仿宋" w:hAnsi="仿宋" w:eastAsia="仿宋"/>
          <w:color w:val="000000"/>
          <w:sz w:val="32"/>
          <w:szCs w:val="32"/>
          <w:lang w:val="en-US" w:eastAsia="zh-CN"/>
        </w:rPr>
        <w:t>90</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90</w:t>
      </w:r>
      <w:r>
        <w:rPr>
          <w:rFonts w:hint="eastAsia" w:ascii="仿宋" w:hAnsi="仿宋" w:eastAsia="仿宋"/>
          <w:color w:val="000000"/>
          <w:sz w:val="32"/>
          <w:szCs w:val="32"/>
        </w:rPr>
        <w:t>万元，完成预算的</w:t>
      </w:r>
      <w:r>
        <w:rPr>
          <w:rFonts w:hint="eastAsia" w:ascii="仿宋" w:hAnsi="仿宋" w:eastAsia="仿宋"/>
          <w:color w:val="000000"/>
          <w:sz w:val="32"/>
          <w:szCs w:val="32"/>
          <w:lang w:val="en-US" w:eastAsia="zh-CN"/>
        </w:rPr>
        <w:t>100.00</w:t>
      </w:r>
      <w:r>
        <w:rPr>
          <w:rFonts w:hint="eastAsia" w:ascii="仿宋" w:hAnsi="仿宋" w:eastAsia="仿宋"/>
          <w:color w:val="000000"/>
          <w:sz w:val="32"/>
          <w:szCs w:val="32"/>
        </w:rPr>
        <w:t>%。通过项目实施，保障了政府采购及土地拍</w:t>
      </w:r>
      <w:r>
        <w:rPr>
          <w:rFonts w:hint="eastAsia" w:ascii="仿宋" w:hAnsi="仿宋" w:eastAsia="仿宋"/>
          <w:color w:val="000000"/>
          <w:sz w:val="32"/>
          <w:szCs w:val="32"/>
          <w:lang w:eastAsia="zh-CN"/>
        </w:rPr>
        <w:t>卖</w:t>
      </w:r>
      <w:r>
        <w:rPr>
          <w:rFonts w:hint="eastAsia" w:ascii="仿宋" w:hAnsi="仿宋" w:eastAsia="仿宋"/>
          <w:color w:val="000000"/>
          <w:sz w:val="32"/>
          <w:szCs w:val="32"/>
        </w:rPr>
        <w:t>、</w:t>
      </w:r>
      <w:r>
        <w:rPr>
          <w:rFonts w:hint="eastAsia" w:ascii="仿宋" w:hAnsi="仿宋" w:eastAsia="仿宋"/>
          <w:color w:val="000000"/>
          <w:sz w:val="32"/>
          <w:szCs w:val="32"/>
          <w:lang w:eastAsia="zh-CN"/>
        </w:rPr>
        <w:t>国有资产</w:t>
      </w:r>
      <w:r>
        <w:rPr>
          <w:rFonts w:hint="eastAsia" w:ascii="仿宋" w:hAnsi="仿宋" w:eastAsia="仿宋"/>
          <w:color w:val="000000"/>
          <w:sz w:val="32"/>
          <w:szCs w:val="32"/>
        </w:rPr>
        <w:t>矿产出让规范性和高效性。发现的主要问题：专家评审费与项目数量直接相关，预算编制时无法准确编制专家评审费预算。</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 w:cs="Times New Roman"/>
          <w:color w:val="000000"/>
          <w:sz w:val="32"/>
          <w:szCs w:val="32"/>
        </w:rPr>
      </w:pPr>
      <w:r>
        <w:rPr>
          <w:rFonts w:hint="eastAsia" w:ascii="仿宋_GB2312" w:hAnsi="仿宋_GB2312" w:eastAsia="仿宋_GB2312" w:cs="仿宋_GB2312"/>
          <w:sz w:val="32"/>
          <w:szCs w:val="32"/>
        </w:rPr>
        <w:t>（2）</w:t>
      </w:r>
      <w:r>
        <w:rPr>
          <w:rFonts w:hint="eastAsia" w:ascii="Times New Roman" w:hAnsi="Times New Roman" w:eastAsia="仿宋" w:cs="Times New Roman"/>
          <w:color w:val="000000"/>
          <w:sz w:val="32"/>
          <w:szCs w:val="32"/>
        </w:rPr>
        <w:t>公共资源交易业务运行经费项目绩效目标完成情况综述。项目全年预算数</w:t>
      </w:r>
      <w:r>
        <w:rPr>
          <w:rFonts w:hint="eastAsia" w:eastAsia="仿宋" w:cs="Times New Roman"/>
          <w:color w:val="000000"/>
          <w:sz w:val="32"/>
          <w:szCs w:val="32"/>
          <w:lang w:val="en-US" w:eastAsia="zh-CN"/>
        </w:rPr>
        <w:t>25.06</w:t>
      </w:r>
      <w:r>
        <w:rPr>
          <w:rFonts w:hint="eastAsia" w:ascii="Times New Roman" w:hAnsi="Times New Roman" w:eastAsia="仿宋" w:cs="Times New Roman"/>
          <w:color w:val="000000"/>
          <w:sz w:val="32"/>
          <w:szCs w:val="32"/>
        </w:rPr>
        <w:t>万元，执行数为</w:t>
      </w:r>
      <w:r>
        <w:rPr>
          <w:rFonts w:hint="eastAsia" w:eastAsia="仿宋" w:cs="Times New Roman"/>
          <w:color w:val="000000"/>
          <w:sz w:val="32"/>
          <w:szCs w:val="32"/>
          <w:lang w:val="en-US" w:eastAsia="zh-CN"/>
        </w:rPr>
        <w:t>25.06</w:t>
      </w:r>
      <w:r>
        <w:rPr>
          <w:rFonts w:hint="eastAsia" w:ascii="Times New Roman" w:hAnsi="Times New Roman" w:eastAsia="仿宋" w:cs="Times New Roman"/>
          <w:color w:val="000000"/>
          <w:sz w:val="32"/>
          <w:szCs w:val="32"/>
        </w:rPr>
        <w:t>万元，完成预算的100%。通过项目实施，</w:t>
      </w:r>
      <w:r>
        <w:rPr>
          <w:rFonts w:ascii="Times New Roman" w:hAnsi="Times New Roman" w:eastAsia="仿宋" w:cs="Times New Roman"/>
          <w:color w:val="000000"/>
          <w:sz w:val="32"/>
          <w:szCs w:val="32"/>
        </w:rPr>
        <w:t>有序推进政府采购、国有资产、土地与矿权、农村产权等相关业务工作；</w:t>
      </w:r>
      <w:r>
        <w:rPr>
          <w:rFonts w:hint="eastAsia" w:ascii="Times New Roman" w:hAnsi="Times New Roman" w:eastAsia="仿宋" w:cs="Times New Roman"/>
          <w:color w:val="000000"/>
          <w:sz w:val="32"/>
          <w:szCs w:val="32"/>
        </w:rPr>
        <w:t>让社会各界更加了解公共资源交易的各项政策，激发更多供应商参与竞争，全力打造统一规范的公共资源交易平台。</w:t>
      </w:r>
    </w:p>
    <w:p>
      <w:pPr>
        <w:pStyle w:val="10"/>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 w:hAnsi="仿宋" w:eastAsia="仿宋"/>
          <w:color w:val="000000"/>
          <w:sz w:val="32"/>
          <w:szCs w:val="32"/>
        </w:rPr>
      </w:pPr>
    </w:p>
    <w:p>
      <w:pPr>
        <w:pStyle w:val="10"/>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 w:hAnsi="仿宋" w:eastAsia="仿宋"/>
          <w:color w:val="000000"/>
          <w:sz w:val="32"/>
          <w:szCs w:val="32"/>
        </w:rPr>
      </w:pPr>
    </w:p>
    <w:p>
      <w:pPr>
        <w:pStyle w:val="10"/>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 w:hAnsi="仿宋" w:eastAsia="仿宋"/>
          <w:color w:val="000000"/>
          <w:sz w:val="32"/>
          <w:szCs w:val="32"/>
        </w:rPr>
      </w:pPr>
    </w:p>
    <w:p>
      <w:pPr>
        <w:pStyle w:val="10"/>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 w:hAnsi="仿宋" w:eastAsia="仿宋"/>
          <w:color w:val="000000"/>
          <w:sz w:val="32"/>
          <w:szCs w:val="32"/>
        </w:rPr>
      </w:pPr>
    </w:p>
    <w:p>
      <w:pPr>
        <w:pStyle w:val="10"/>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 w:hAnsi="仿宋" w:eastAsia="仿宋"/>
          <w:color w:val="000000"/>
          <w:sz w:val="32"/>
          <w:szCs w:val="32"/>
        </w:rPr>
      </w:pPr>
    </w:p>
    <w:p>
      <w:pPr>
        <w:pStyle w:val="10"/>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 w:hAnsi="仿宋" w:eastAsia="仿宋"/>
          <w:color w:val="000000"/>
          <w:sz w:val="32"/>
          <w:szCs w:val="32"/>
        </w:rPr>
      </w:pPr>
    </w:p>
    <w:p>
      <w:pPr>
        <w:pStyle w:val="10"/>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 w:hAnsi="仿宋" w:eastAsia="仿宋"/>
          <w:color w:val="000000"/>
          <w:sz w:val="32"/>
          <w:szCs w:val="32"/>
        </w:rPr>
      </w:pPr>
    </w:p>
    <w:p>
      <w:pPr>
        <w:pStyle w:val="10"/>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 w:hAnsi="仿宋" w:eastAsia="仿宋"/>
          <w:color w:val="000000"/>
          <w:sz w:val="32"/>
          <w:szCs w:val="32"/>
        </w:rPr>
      </w:pPr>
    </w:p>
    <w:p>
      <w:pPr>
        <w:pStyle w:val="10"/>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 w:hAnsi="仿宋" w:eastAsia="仿宋"/>
          <w:color w:val="000000"/>
          <w:sz w:val="32"/>
          <w:szCs w:val="32"/>
        </w:rPr>
      </w:pPr>
    </w:p>
    <w:p>
      <w:pPr>
        <w:pStyle w:val="10"/>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 w:hAnsi="仿宋" w:eastAsia="仿宋"/>
          <w:color w:val="000000"/>
          <w:sz w:val="32"/>
          <w:szCs w:val="32"/>
        </w:rPr>
      </w:pPr>
    </w:p>
    <w:p>
      <w:pPr>
        <w:pStyle w:val="10"/>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 w:hAnsi="仿宋" w:eastAsia="仿宋"/>
          <w:color w:val="000000"/>
          <w:sz w:val="32"/>
          <w:szCs w:val="32"/>
        </w:rPr>
      </w:pPr>
    </w:p>
    <w:p>
      <w:pPr>
        <w:pStyle w:val="10"/>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 w:hAnsi="仿宋" w:eastAsia="仿宋"/>
          <w:color w:val="000000"/>
          <w:sz w:val="32"/>
          <w:szCs w:val="32"/>
        </w:rPr>
      </w:pPr>
    </w:p>
    <w:p>
      <w:pPr>
        <w:pStyle w:val="10"/>
        <w:rPr>
          <w:rFonts w:hint="eastAsia" w:ascii="仿宋" w:hAnsi="仿宋" w:eastAsia="仿宋"/>
          <w:color w:val="000000"/>
          <w:sz w:val="32"/>
          <w:szCs w:val="32"/>
        </w:rPr>
      </w:pPr>
    </w:p>
    <w:p>
      <w:pPr>
        <w:pStyle w:val="10"/>
        <w:rPr>
          <w:rFonts w:hint="eastAsia" w:ascii="仿宋" w:hAnsi="仿宋" w:eastAsia="仿宋"/>
          <w:color w:val="000000"/>
          <w:sz w:val="32"/>
          <w:szCs w:val="32"/>
        </w:rPr>
      </w:pPr>
    </w:p>
    <w:p>
      <w:pPr>
        <w:pStyle w:val="10"/>
        <w:rPr>
          <w:rFonts w:hint="eastAsia" w:ascii="仿宋" w:hAnsi="仿宋" w:eastAsia="仿宋"/>
          <w:color w:val="000000"/>
          <w:sz w:val="32"/>
          <w:szCs w:val="32"/>
        </w:rPr>
      </w:pPr>
    </w:p>
    <w:p>
      <w:pPr>
        <w:pStyle w:val="10"/>
        <w:rPr>
          <w:rFonts w:hint="eastAsia" w:ascii="仿宋" w:hAnsi="仿宋" w:eastAsia="仿宋"/>
          <w:color w:val="000000"/>
          <w:sz w:val="32"/>
          <w:szCs w:val="32"/>
        </w:rPr>
      </w:pPr>
    </w:p>
    <w:tbl>
      <w:tblPr>
        <w:tblStyle w:val="15"/>
        <w:tblW w:w="8789"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536"/>
        <w:gridCol w:w="510"/>
        <w:gridCol w:w="662"/>
        <w:gridCol w:w="455"/>
        <w:gridCol w:w="430"/>
        <w:gridCol w:w="858"/>
        <w:gridCol w:w="1201"/>
        <w:gridCol w:w="760"/>
        <w:gridCol w:w="1296"/>
        <w:gridCol w:w="254"/>
        <w:gridCol w:w="1827"/>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12" w:hRule="atLeast"/>
        </w:trPr>
        <w:tc>
          <w:tcPr>
            <w:tcW w:w="8789" w:type="dxa"/>
            <w:gridSpan w:val="11"/>
            <w:tcBorders>
              <w:bottom w:val="nil"/>
              <w:tl2br w:val="nil"/>
              <w:tr2bl w:val="nil"/>
            </w:tcBorders>
            <w:shd w:val="clear" w:color="auto" w:fill="auto"/>
            <w:vAlign w:val="center"/>
          </w:tcPr>
          <w:p>
            <w:pPr>
              <w:widowControl/>
              <w:contextualSpacing/>
              <w:jc w:val="center"/>
              <w:rPr>
                <w:rFonts w:ascii="宋体" w:hAnsi="宋体" w:cs="宋体"/>
                <w:b/>
                <w:bCs/>
                <w:kern w:val="0"/>
                <w:sz w:val="32"/>
                <w:szCs w:val="32"/>
              </w:rPr>
            </w:pPr>
            <w:r>
              <w:rPr>
                <w:rFonts w:hint="eastAsia" w:ascii="宋体" w:hAnsi="宋体" w:cs="宋体"/>
                <w:b/>
                <w:bCs/>
                <w:kern w:val="0"/>
                <w:sz w:val="32"/>
                <w:szCs w:val="32"/>
                <w:lang w:eastAsia="zh-CN"/>
              </w:rPr>
              <w:t>专家评审</w:t>
            </w:r>
            <w:r>
              <w:rPr>
                <w:rFonts w:hint="eastAsia" w:ascii="宋体" w:hAnsi="宋体" w:cs="宋体"/>
                <w:b/>
                <w:bCs/>
                <w:kern w:val="0"/>
                <w:sz w:val="32"/>
                <w:szCs w:val="32"/>
              </w:rPr>
              <w:t>费项目绩效目标完成情况表</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0" w:hRule="atLeast"/>
        </w:trPr>
        <w:tc>
          <w:tcPr>
            <w:tcW w:w="8789" w:type="dxa"/>
            <w:gridSpan w:val="11"/>
            <w:tcBorders>
              <w:top w:val="nil"/>
            </w:tcBorders>
            <w:shd w:val="clear" w:color="auto" w:fill="auto"/>
            <w:vAlign w:val="center"/>
          </w:tcPr>
          <w:p>
            <w:pPr>
              <w:widowControl/>
              <w:contextualSpacing/>
              <w:jc w:val="center"/>
              <w:rPr>
                <w:rFonts w:ascii="宋体" w:hAnsi="宋体" w:cs="宋体"/>
                <w:kern w:val="0"/>
                <w:sz w:val="24"/>
              </w:rPr>
            </w:pPr>
            <w:r>
              <w:rPr>
                <w:rFonts w:hint="eastAsia" w:ascii="宋体" w:hAnsi="宋体" w:cs="宋体"/>
                <w:kern w:val="0"/>
                <w:sz w:val="24"/>
              </w:rPr>
              <w:t>(20</w:t>
            </w:r>
            <w:r>
              <w:rPr>
                <w:rFonts w:ascii="宋体" w:hAnsi="宋体" w:cs="宋体"/>
                <w:kern w:val="0"/>
                <w:sz w:val="24"/>
              </w:rPr>
              <w:t>2</w:t>
            </w:r>
            <w:r>
              <w:rPr>
                <w:rFonts w:hint="eastAsia" w:ascii="宋体" w:hAnsi="宋体" w:cs="宋体"/>
                <w:kern w:val="0"/>
                <w:sz w:val="24"/>
                <w:lang w:val="en-US" w:eastAsia="zh-CN"/>
              </w:rPr>
              <w:t>1</w:t>
            </w:r>
            <w:r>
              <w:rPr>
                <w:rFonts w:hint="eastAsia" w:ascii="宋体" w:hAnsi="宋体" w:cs="宋体"/>
                <w:kern w:val="0"/>
                <w:sz w:val="24"/>
              </w:rPr>
              <w:t>年度)</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3451" w:type="dxa"/>
            <w:gridSpan w:val="6"/>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项目名称</w:t>
            </w:r>
          </w:p>
        </w:tc>
        <w:tc>
          <w:tcPr>
            <w:tcW w:w="5338" w:type="dxa"/>
            <w:gridSpan w:val="5"/>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lang w:eastAsia="zh-CN"/>
              </w:rPr>
              <w:t>专家评审</w:t>
            </w:r>
            <w:r>
              <w:rPr>
                <w:rFonts w:ascii="宋体" w:hAnsi="宋体" w:cs="宋体"/>
                <w:kern w:val="0"/>
                <w:sz w:val="20"/>
                <w:szCs w:val="20"/>
              </w:rPr>
              <w:t>费</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3451" w:type="dxa"/>
            <w:gridSpan w:val="6"/>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预算单位</w:t>
            </w:r>
          </w:p>
        </w:tc>
        <w:tc>
          <w:tcPr>
            <w:tcW w:w="5338" w:type="dxa"/>
            <w:gridSpan w:val="5"/>
            <w:tcBorders>
              <w:left w:val="single" w:color="auto" w:sz="4" w:space="0"/>
              <w:right w:val="single" w:color="auto" w:sz="4" w:space="0"/>
            </w:tcBorders>
            <w:shd w:val="clear" w:color="auto" w:fill="auto"/>
            <w:vAlign w:val="center"/>
          </w:tcPr>
          <w:p>
            <w:pPr>
              <w:widowControl/>
              <w:ind w:left="-359" w:leftChars="-171" w:firstLine="360" w:firstLineChars="180"/>
              <w:contextualSpacing/>
              <w:jc w:val="center"/>
              <w:rPr>
                <w:rFonts w:ascii="宋体" w:hAnsi="宋体" w:cs="宋体"/>
                <w:kern w:val="0"/>
                <w:sz w:val="20"/>
                <w:szCs w:val="20"/>
              </w:rPr>
            </w:pPr>
            <w:r>
              <w:rPr>
                <w:rFonts w:hint="eastAsia" w:ascii="宋体" w:hAnsi="宋体" w:cs="宋体"/>
                <w:kern w:val="0"/>
                <w:sz w:val="20"/>
                <w:szCs w:val="20"/>
              </w:rPr>
              <w:t>泸</w:t>
            </w:r>
            <w:r>
              <w:rPr>
                <w:rFonts w:hint="eastAsia" w:ascii="宋体" w:hAnsi="宋体" w:cs="宋体"/>
                <w:kern w:val="0"/>
                <w:sz w:val="20"/>
                <w:szCs w:val="20"/>
                <w:lang w:eastAsia="zh-CN"/>
              </w:rPr>
              <w:t>县</w:t>
            </w:r>
            <w:r>
              <w:rPr>
                <w:rFonts w:hint="eastAsia" w:ascii="宋体" w:hAnsi="宋体" w:cs="宋体"/>
                <w:kern w:val="0"/>
                <w:sz w:val="20"/>
                <w:szCs w:val="20"/>
              </w:rPr>
              <w:t>公共资源交易中心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1046" w:type="dxa"/>
            <w:gridSpan w:val="2"/>
            <w:vMerge w:val="restart"/>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预算</w:t>
            </w:r>
          </w:p>
          <w:p>
            <w:pPr>
              <w:widowControl/>
              <w:contextualSpacing/>
              <w:jc w:val="center"/>
              <w:rPr>
                <w:rFonts w:ascii="宋体" w:hAnsi="宋体" w:cs="宋体"/>
                <w:kern w:val="0"/>
                <w:sz w:val="20"/>
                <w:szCs w:val="20"/>
              </w:rPr>
            </w:pPr>
            <w:r>
              <w:rPr>
                <w:rFonts w:hint="eastAsia" w:ascii="宋体" w:hAnsi="宋体" w:cs="宋体"/>
                <w:kern w:val="0"/>
                <w:sz w:val="20"/>
                <w:szCs w:val="20"/>
              </w:rPr>
              <w:t>执行</w:t>
            </w:r>
          </w:p>
          <w:p>
            <w:pPr>
              <w:widowControl/>
              <w:contextualSpacing/>
              <w:jc w:val="center"/>
              <w:rPr>
                <w:rFonts w:ascii="宋体" w:hAnsi="宋体" w:cs="宋体"/>
                <w:kern w:val="0"/>
                <w:sz w:val="20"/>
                <w:szCs w:val="20"/>
              </w:rPr>
            </w:pPr>
            <w:r>
              <w:rPr>
                <w:rFonts w:hint="eastAsia" w:ascii="宋体" w:hAnsi="宋体" w:cs="宋体"/>
                <w:kern w:val="0"/>
                <w:sz w:val="20"/>
                <w:szCs w:val="20"/>
              </w:rPr>
              <w:t>情况</w:t>
            </w:r>
          </w:p>
          <w:p>
            <w:pPr>
              <w:widowControl/>
              <w:contextualSpacing/>
              <w:jc w:val="center"/>
              <w:rPr>
                <w:rFonts w:ascii="宋体" w:hAnsi="宋体" w:cs="宋体"/>
                <w:kern w:val="0"/>
                <w:sz w:val="20"/>
                <w:szCs w:val="20"/>
              </w:rPr>
            </w:pPr>
            <w:r>
              <w:rPr>
                <w:kern w:val="0"/>
                <w:sz w:val="20"/>
                <w:szCs w:val="20"/>
              </w:rPr>
              <w:t>(</w:t>
            </w:r>
            <w:r>
              <w:rPr>
                <w:rFonts w:hint="eastAsia" w:ascii="宋体" w:hAnsi="宋体" w:cs="宋体"/>
                <w:kern w:val="0"/>
                <w:sz w:val="20"/>
                <w:szCs w:val="20"/>
              </w:rPr>
              <w:t>万元</w:t>
            </w:r>
            <w:r>
              <w:rPr>
                <w:kern w:val="0"/>
                <w:sz w:val="20"/>
                <w:szCs w:val="20"/>
              </w:rPr>
              <w:t>)</w:t>
            </w:r>
          </w:p>
        </w:tc>
        <w:tc>
          <w:tcPr>
            <w:tcW w:w="2405" w:type="dxa"/>
            <w:gridSpan w:val="4"/>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预算数</w:t>
            </w:r>
            <w:r>
              <w:rPr>
                <w:kern w:val="0"/>
                <w:sz w:val="20"/>
                <w:szCs w:val="20"/>
              </w:rPr>
              <w:t>:</w:t>
            </w:r>
          </w:p>
        </w:tc>
        <w:tc>
          <w:tcPr>
            <w:tcW w:w="1961" w:type="dxa"/>
            <w:gridSpan w:val="2"/>
            <w:tcBorders>
              <w:left w:val="single" w:color="auto" w:sz="4" w:space="0"/>
              <w:right w:val="single" w:color="auto" w:sz="4" w:space="0"/>
            </w:tcBorders>
            <w:shd w:val="clear" w:color="auto" w:fill="auto"/>
            <w:vAlign w:val="center"/>
          </w:tcPr>
          <w:p>
            <w:pPr>
              <w:widowControl/>
              <w:contextualSpacing/>
              <w:jc w:val="center"/>
              <w:rPr>
                <w:rFonts w:hint="default" w:eastAsia="等线"/>
                <w:kern w:val="0"/>
                <w:sz w:val="20"/>
                <w:szCs w:val="20"/>
                <w:lang w:val="en-US" w:eastAsia="zh-CN"/>
              </w:rPr>
            </w:pPr>
            <w:r>
              <w:rPr>
                <w:rFonts w:hint="eastAsia" w:eastAsia="等线"/>
                <w:kern w:val="0"/>
                <w:sz w:val="20"/>
                <w:szCs w:val="20"/>
                <w:lang w:val="en-US" w:eastAsia="zh-CN"/>
              </w:rPr>
              <w:t>90</w:t>
            </w:r>
          </w:p>
        </w:tc>
        <w:tc>
          <w:tcPr>
            <w:tcW w:w="1550"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执行数</w:t>
            </w:r>
            <w:r>
              <w:rPr>
                <w:kern w:val="0"/>
                <w:sz w:val="20"/>
                <w:szCs w:val="20"/>
              </w:rPr>
              <w:t>:</w:t>
            </w:r>
          </w:p>
        </w:tc>
        <w:tc>
          <w:tcPr>
            <w:tcW w:w="1827" w:type="dxa"/>
            <w:tcBorders>
              <w:left w:val="single" w:color="auto" w:sz="4" w:space="0"/>
              <w:right w:val="single" w:color="auto" w:sz="4" w:space="0"/>
            </w:tcBorders>
            <w:shd w:val="clear" w:color="auto" w:fill="auto"/>
            <w:vAlign w:val="center"/>
          </w:tcPr>
          <w:p>
            <w:pPr>
              <w:widowControl/>
              <w:contextualSpacing/>
              <w:jc w:val="center"/>
              <w:rPr>
                <w:rFonts w:hint="default" w:eastAsia="等线"/>
                <w:kern w:val="0"/>
                <w:sz w:val="20"/>
                <w:szCs w:val="20"/>
                <w:lang w:val="en-US" w:eastAsia="zh-CN"/>
              </w:rPr>
            </w:pPr>
            <w:r>
              <w:rPr>
                <w:rFonts w:hint="eastAsia" w:eastAsia="等线"/>
                <w:kern w:val="0"/>
                <w:sz w:val="20"/>
                <w:szCs w:val="20"/>
                <w:lang w:val="en-US" w:eastAsia="zh-CN"/>
              </w:rPr>
              <w:t>90</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2405" w:type="dxa"/>
            <w:gridSpan w:val="4"/>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其中</w:t>
            </w:r>
            <w:r>
              <w:rPr>
                <w:kern w:val="0"/>
                <w:sz w:val="20"/>
                <w:szCs w:val="20"/>
              </w:rPr>
              <w:t>-</w:t>
            </w:r>
            <w:r>
              <w:rPr>
                <w:rFonts w:hint="eastAsia" w:ascii="宋体" w:hAnsi="宋体" w:cs="宋体"/>
                <w:kern w:val="0"/>
                <w:sz w:val="20"/>
                <w:szCs w:val="20"/>
              </w:rPr>
              <w:t>财政拨款</w:t>
            </w:r>
            <w:r>
              <w:rPr>
                <w:kern w:val="0"/>
                <w:sz w:val="20"/>
                <w:szCs w:val="20"/>
              </w:rPr>
              <w:t>:</w:t>
            </w:r>
          </w:p>
        </w:tc>
        <w:tc>
          <w:tcPr>
            <w:tcW w:w="1961" w:type="dxa"/>
            <w:gridSpan w:val="2"/>
            <w:tcBorders>
              <w:left w:val="single" w:color="auto" w:sz="4" w:space="0"/>
              <w:right w:val="single" w:color="auto" w:sz="4" w:space="0"/>
            </w:tcBorders>
            <w:shd w:val="clear" w:color="auto" w:fill="auto"/>
            <w:vAlign w:val="center"/>
          </w:tcPr>
          <w:p>
            <w:pPr>
              <w:widowControl/>
              <w:contextualSpacing/>
              <w:jc w:val="center"/>
              <w:rPr>
                <w:rFonts w:hint="default" w:eastAsia="等线"/>
                <w:kern w:val="0"/>
                <w:sz w:val="20"/>
                <w:szCs w:val="20"/>
                <w:lang w:val="en-US" w:eastAsia="zh-CN"/>
              </w:rPr>
            </w:pPr>
            <w:r>
              <w:rPr>
                <w:rFonts w:hint="eastAsia" w:eastAsia="等线"/>
                <w:kern w:val="0"/>
                <w:sz w:val="20"/>
                <w:szCs w:val="20"/>
                <w:lang w:val="en-US" w:eastAsia="zh-CN"/>
              </w:rPr>
              <w:t>90</w:t>
            </w:r>
          </w:p>
        </w:tc>
        <w:tc>
          <w:tcPr>
            <w:tcW w:w="1550"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其中</w:t>
            </w:r>
            <w:r>
              <w:rPr>
                <w:kern w:val="0"/>
                <w:sz w:val="20"/>
                <w:szCs w:val="20"/>
              </w:rPr>
              <w:t>-</w:t>
            </w:r>
            <w:r>
              <w:rPr>
                <w:rFonts w:hint="eastAsia" w:ascii="宋体" w:hAnsi="宋体" w:cs="宋体"/>
                <w:kern w:val="0"/>
                <w:sz w:val="20"/>
                <w:szCs w:val="20"/>
              </w:rPr>
              <w:t>财政拨款</w:t>
            </w:r>
            <w:r>
              <w:rPr>
                <w:kern w:val="0"/>
                <w:sz w:val="20"/>
                <w:szCs w:val="20"/>
              </w:rPr>
              <w:t>:</w:t>
            </w:r>
          </w:p>
        </w:tc>
        <w:tc>
          <w:tcPr>
            <w:tcW w:w="1827" w:type="dxa"/>
            <w:tcBorders>
              <w:left w:val="single" w:color="auto" w:sz="4" w:space="0"/>
              <w:right w:val="single" w:color="auto" w:sz="4" w:space="0"/>
            </w:tcBorders>
            <w:shd w:val="clear" w:color="auto" w:fill="auto"/>
            <w:vAlign w:val="center"/>
          </w:tcPr>
          <w:p>
            <w:pPr>
              <w:widowControl/>
              <w:contextualSpacing/>
              <w:jc w:val="center"/>
              <w:rPr>
                <w:rFonts w:hint="default" w:eastAsia="等线"/>
                <w:kern w:val="0"/>
                <w:sz w:val="20"/>
                <w:szCs w:val="20"/>
                <w:lang w:val="en-US" w:eastAsia="zh-CN"/>
              </w:rPr>
            </w:pPr>
            <w:r>
              <w:rPr>
                <w:rFonts w:hint="eastAsia" w:eastAsia="等线"/>
                <w:kern w:val="0"/>
                <w:sz w:val="20"/>
                <w:szCs w:val="20"/>
                <w:lang w:val="en-US" w:eastAsia="zh-CN"/>
              </w:rPr>
              <w:t>90</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2405" w:type="dxa"/>
            <w:gridSpan w:val="4"/>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其它资金</w:t>
            </w:r>
            <w:r>
              <w:rPr>
                <w:kern w:val="0"/>
                <w:sz w:val="20"/>
                <w:szCs w:val="20"/>
              </w:rPr>
              <w:t>:</w:t>
            </w:r>
          </w:p>
        </w:tc>
        <w:tc>
          <w:tcPr>
            <w:tcW w:w="1961" w:type="dxa"/>
            <w:gridSpan w:val="2"/>
            <w:tcBorders>
              <w:left w:val="single" w:color="auto" w:sz="4" w:space="0"/>
              <w:right w:val="single" w:color="auto" w:sz="4" w:space="0"/>
            </w:tcBorders>
            <w:shd w:val="clear" w:color="auto" w:fill="auto"/>
            <w:vAlign w:val="center"/>
          </w:tcPr>
          <w:p>
            <w:pPr>
              <w:widowControl/>
              <w:contextualSpacing/>
              <w:jc w:val="center"/>
              <w:rPr>
                <w:rFonts w:eastAsia="等线"/>
                <w:kern w:val="0"/>
                <w:sz w:val="20"/>
                <w:szCs w:val="20"/>
              </w:rPr>
            </w:pPr>
            <w:r>
              <w:rPr>
                <w:rFonts w:eastAsia="等线"/>
                <w:kern w:val="0"/>
                <w:sz w:val="20"/>
                <w:szCs w:val="20"/>
              </w:rPr>
              <w:t>　</w:t>
            </w:r>
          </w:p>
        </w:tc>
        <w:tc>
          <w:tcPr>
            <w:tcW w:w="1550"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其它资金</w:t>
            </w:r>
            <w:r>
              <w:rPr>
                <w:kern w:val="0"/>
                <w:sz w:val="20"/>
                <w:szCs w:val="20"/>
              </w:rPr>
              <w:t>:</w:t>
            </w:r>
          </w:p>
        </w:tc>
        <w:tc>
          <w:tcPr>
            <w:tcW w:w="1827" w:type="dxa"/>
            <w:tcBorders>
              <w:left w:val="single" w:color="auto" w:sz="4" w:space="0"/>
              <w:right w:val="single" w:color="auto" w:sz="4" w:space="0"/>
            </w:tcBorders>
            <w:shd w:val="clear" w:color="auto" w:fill="auto"/>
            <w:vAlign w:val="center"/>
          </w:tcPr>
          <w:p>
            <w:pPr>
              <w:widowControl/>
              <w:contextualSpacing/>
              <w:jc w:val="center"/>
              <w:rPr>
                <w:rFonts w:eastAsia="等线"/>
                <w:kern w:val="0"/>
                <w:sz w:val="20"/>
                <w:szCs w:val="20"/>
              </w:rPr>
            </w:pPr>
            <w:r>
              <w:rPr>
                <w:rFonts w:eastAsia="等线"/>
                <w:kern w:val="0"/>
                <w:sz w:val="20"/>
                <w:szCs w:val="20"/>
              </w:rPr>
              <w:t>　</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1046" w:type="dxa"/>
            <w:gridSpan w:val="2"/>
            <w:vMerge w:val="restart"/>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年度</w:t>
            </w:r>
          </w:p>
          <w:p>
            <w:pPr>
              <w:widowControl/>
              <w:contextualSpacing/>
              <w:jc w:val="center"/>
              <w:rPr>
                <w:rFonts w:ascii="宋体" w:hAnsi="宋体" w:cs="宋体"/>
                <w:kern w:val="0"/>
                <w:sz w:val="20"/>
                <w:szCs w:val="20"/>
              </w:rPr>
            </w:pPr>
            <w:r>
              <w:rPr>
                <w:rFonts w:hint="eastAsia" w:ascii="宋体" w:hAnsi="宋体" w:cs="宋体"/>
                <w:kern w:val="0"/>
                <w:sz w:val="20"/>
                <w:szCs w:val="20"/>
              </w:rPr>
              <w:t>目标</w:t>
            </w:r>
          </w:p>
          <w:p>
            <w:pPr>
              <w:widowControl/>
              <w:contextualSpacing/>
              <w:jc w:val="center"/>
              <w:rPr>
                <w:rFonts w:ascii="宋体" w:hAnsi="宋体" w:cs="宋体"/>
                <w:kern w:val="0"/>
                <w:sz w:val="20"/>
                <w:szCs w:val="20"/>
              </w:rPr>
            </w:pPr>
            <w:r>
              <w:rPr>
                <w:rFonts w:hint="eastAsia" w:ascii="宋体" w:hAnsi="宋体" w:cs="宋体"/>
                <w:kern w:val="0"/>
                <w:sz w:val="20"/>
                <w:szCs w:val="20"/>
              </w:rPr>
              <w:t>完成</w:t>
            </w:r>
          </w:p>
          <w:p>
            <w:pPr>
              <w:widowControl/>
              <w:contextualSpacing/>
              <w:jc w:val="center"/>
              <w:rPr>
                <w:rFonts w:ascii="宋体" w:hAnsi="宋体" w:cs="宋体"/>
                <w:kern w:val="0"/>
                <w:sz w:val="20"/>
                <w:szCs w:val="20"/>
              </w:rPr>
            </w:pPr>
            <w:r>
              <w:rPr>
                <w:rFonts w:hint="eastAsia" w:ascii="宋体" w:hAnsi="宋体" w:cs="宋体"/>
                <w:kern w:val="0"/>
                <w:sz w:val="20"/>
                <w:szCs w:val="20"/>
              </w:rPr>
              <w:t>情况</w:t>
            </w:r>
          </w:p>
        </w:tc>
        <w:tc>
          <w:tcPr>
            <w:tcW w:w="4366" w:type="dxa"/>
            <w:gridSpan w:val="6"/>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预期目标</w:t>
            </w:r>
          </w:p>
        </w:tc>
        <w:tc>
          <w:tcPr>
            <w:tcW w:w="3377" w:type="dxa"/>
            <w:gridSpan w:val="3"/>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实际完成目标</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92" w:hRule="atLeast"/>
        </w:trPr>
        <w:tc>
          <w:tcPr>
            <w:tcW w:w="1046" w:type="dxa"/>
            <w:gridSpan w:val="2"/>
            <w:vMerge w:val="continue"/>
            <w:tcBorders>
              <w:left w:val="single" w:color="auto" w:sz="4" w:space="0"/>
              <w:right w:val="single" w:color="auto" w:sz="4" w:space="0"/>
            </w:tcBorders>
          </w:tcPr>
          <w:p>
            <w:pPr>
              <w:widowControl/>
              <w:contextualSpacing/>
              <w:jc w:val="left"/>
              <w:rPr>
                <w:rFonts w:ascii="宋体" w:hAnsi="宋体" w:cs="宋体"/>
                <w:kern w:val="0"/>
                <w:sz w:val="20"/>
                <w:szCs w:val="20"/>
              </w:rPr>
            </w:pPr>
          </w:p>
        </w:tc>
        <w:tc>
          <w:tcPr>
            <w:tcW w:w="4366" w:type="dxa"/>
            <w:gridSpan w:val="6"/>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rPr>
              <w:t>为提高政府采购及土地拍</w:t>
            </w:r>
            <w:r>
              <w:rPr>
                <w:rFonts w:hint="eastAsia" w:ascii="宋体" w:hAnsi="宋体" w:cs="宋体"/>
                <w:kern w:val="0"/>
                <w:sz w:val="20"/>
                <w:szCs w:val="20"/>
                <w:lang w:eastAsia="zh-CN"/>
              </w:rPr>
              <w:t>卖</w:t>
            </w:r>
            <w:r>
              <w:rPr>
                <w:rFonts w:hint="eastAsia" w:ascii="宋体" w:hAnsi="宋体" w:cs="宋体"/>
                <w:kern w:val="0"/>
                <w:sz w:val="20"/>
                <w:szCs w:val="20"/>
              </w:rPr>
              <w:t>、矿产出让规范性和高效性，以支付劳务费的方式，以期获更好的成绩。</w:t>
            </w:r>
          </w:p>
        </w:tc>
        <w:tc>
          <w:tcPr>
            <w:tcW w:w="3377" w:type="dxa"/>
            <w:gridSpan w:val="3"/>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rPr>
              <w:t>提高了政府采购及土地拍地、矿产出让规范性和高效性，顺利的完成了各政府采购采购项目</w:t>
            </w:r>
            <w:r>
              <w:rPr>
                <w:rFonts w:hint="eastAsia" w:ascii="宋体" w:hAnsi="宋体" w:cs="宋体"/>
                <w:kern w:val="0"/>
                <w:sz w:val="20"/>
                <w:szCs w:val="20"/>
                <w:lang w:eastAsia="zh-CN"/>
              </w:rPr>
              <w:t>。</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9" w:hRule="atLeast"/>
        </w:trPr>
        <w:tc>
          <w:tcPr>
            <w:tcW w:w="1046" w:type="dxa"/>
            <w:gridSpan w:val="2"/>
            <w:vMerge w:val="restart"/>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绩效</w:t>
            </w:r>
          </w:p>
          <w:p>
            <w:pPr>
              <w:widowControl/>
              <w:contextualSpacing/>
              <w:jc w:val="center"/>
              <w:rPr>
                <w:rFonts w:ascii="宋体" w:hAnsi="宋体" w:cs="宋体"/>
                <w:kern w:val="0"/>
                <w:sz w:val="20"/>
                <w:szCs w:val="20"/>
              </w:rPr>
            </w:pPr>
            <w:r>
              <w:rPr>
                <w:rFonts w:hint="eastAsia" w:ascii="宋体" w:hAnsi="宋体" w:cs="宋体"/>
                <w:kern w:val="0"/>
                <w:sz w:val="20"/>
                <w:szCs w:val="20"/>
              </w:rPr>
              <w:t>指标</w:t>
            </w:r>
          </w:p>
          <w:p>
            <w:pPr>
              <w:widowControl/>
              <w:contextualSpacing/>
              <w:jc w:val="center"/>
              <w:rPr>
                <w:rFonts w:ascii="宋体" w:hAnsi="宋体" w:cs="宋体"/>
                <w:kern w:val="0"/>
                <w:sz w:val="20"/>
                <w:szCs w:val="20"/>
              </w:rPr>
            </w:pPr>
            <w:r>
              <w:rPr>
                <w:rFonts w:hint="eastAsia" w:ascii="宋体" w:hAnsi="宋体" w:cs="宋体"/>
                <w:kern w:val="0"/>
                <w:sz w:val="20"/>
                <w:szCs w:val="20"/>
              </w:rPr>
              <w:t>完成</w:t>
            </w:r>
          </w:p>
          <w:p>
            <w:pPr>
              <w:widowControl/>
              <w:contextualSpacing/>
              <w:jc w:val="center"/>
              <w:rPr>
                <w:rFonts w:ascii="宋体" w:hAnsi="宋体" w:cs="宋体"/>
                <w:kern w:val="0"/>
                <w:sz w:val="20"/>
                <w:szCs w:val="20"/>
              </w:rPr>
            </w:pPr>
            <w:r>
              <w:rPr>
                <w:rFonts w:hint="eastAsia" w:ascii="宋体" w:hAnsi="宋体" w:cs="宋体"/>
                <w:kern w:val="0"/>
                <w:sz w:val="20"/>
                <w:szCs w:val="20"/>
              </w:rPr>
              <w:t>情况</w:t>
            </w:r>
          </w:p>
        </w:tc>
        <w:tc>
          <w:tcPr>
            <w:tcW w:w="1117"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二级指标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三级指标</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rPr>
              <w:t>预期指标值</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rPr>
              <w:t>实际完成指标值</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66"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restart"/>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项目</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数量指标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专家评审场次</w:t>
            </w:r>
          </w:p>
        </w:tc>
        <w:tc>
          <w:tcPr>
            <w:tcW w:w="1550" w:type="dxa"/>
            <w:gridSpan w:val="2"/>
            <w:tcBorders>
              <w:left w:val="single" w:color="auto" w:sz="4" w:space="0"/>
              <w:right w:val="single" w:color="auto" w:sz="4" w:space="0"/>
            </w:tcBorders>
            <w:shd w:val="clear" w:color="auto" w:fill="auto"/>
            <w:vAlign w:val="center"/>
          </w:tcPr>
          <w:p>
            <w:pPr>
              <w:widowControl/>
              <w:ind w:firstLine="200" w:firstLineChars="100"/>
              <w:contextualSpacing/>
              <w:jc w:val="left"/>
              <w:rPr>
                <w:rFonts w:hint="default" w:ascii="宋体" w:hAnsi="宋体" w:eastAsia="宋体" w:cs="宋体"/>
                <w:kern w:val="0"/>
                <w:sz w:val="20"/>
                <w:szCs w:val="20"/>
                <w:lang w:val="en-US" w:eastAsia="zh-CN"/>
              </w:rPr>
            </w:pPr>
            <w:r>
              <w:rPr>
                <w:rFonts w:hint="eastAsia" w:ascii="宋体" w:hAnsi="宋体" w:cs="宋体"/>
                <w:kern w:val="0"/>
                <w:sz w:val="20"/>
                <w:szCs w:val="20"/>
              </w:rPr>
              <w:t>≥</w:t>
            </w:r>
            <w:r>
              <w:rPr>
                <w:rFonts w:hint="eastAsia" w:ascii="宋体" w:hAnsi="宋体" w:cs="宋体"/>
                <w:kern w:val="0"/>
                <w:sz w:val="20"/>
                <w:szCs w:val="20"/>
                <w:lang w:val="en-US" w:eastAsia="zh-CN"/>
              </w:rPr>
              <w:t>150场</w:t>
            </w:r>
          </w:p>
        </w:tc>
        <w:tc>
          <w:tcPr>
            <w:tcW w:w="1827" w:type="dxa"/>
            <w:tcBorders>
              <w:left w:val="single" w:color="auto" w:sz="4" w:space="0"/>
              <w:right w:val="single" w:color="auto" w:sz="4" w:space="0"/>
            </w:tcBorders>
            <w:shd w:val="clear" w:color="auto" w:fill="auto"/>
            <w:vAlign w:val="center"/>
          </w:tcPr>
          <w:p>
            <w:pPr>
              <w:widowControl/>
              <w:contextualSpacing/>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182场</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6"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质量指标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规范招投业务评审费使用，提高使用质量，项目顺利开展</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保证公共资源交易项目顺利开展</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eastAsia="zh-CN"/>
              </w:rPr>
              <w:t>公共资源交易项目顺利开展</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4"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时效指标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eastAsia="zh-CN"/>
              </w:rPr>
              <w:t>完成时间</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2021年底</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val="en-US" w:eastAsia="zh-CN"/>
              </w:rPr>
              <w:t>2021年底</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4"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成本指标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lang w:eastAsia="zh-CN"/>
              </w:rPr>
            </w:pPr>
            <w:r>
              <w:rPr>
                <w:rFonts w:hint="eastAsia" w:ascii="宋体" w:hAnsi="宋体" w:cs="宋体"/>
                <w:kern w:val="0"/>
                <w:sz w:val="20"/>
                <w:szCs w:val="20"/>
                <w:lang w:eastAsia="zh-CN"/>
              </w:rPr>
              <w:t>成本测算</w:t>
            </w:r>
          </w:p>
        </w:tc>
        <w:tc>
          <w:tcPr>
            <w:tcW w:w="1550" w:type="dxa"/>
            <w:gridSpan w:val="2"/>
            <w:tcBorders>
              <w:left w:val="single" w:color="auto" w:sz="4" w:space="0"/>
              <w:right w:val="single" w:color="auto" w:sz="4" w:space="0"/>
            </w:tcBorders>
            <w:shd w:val="clear" w:color="auto" w:fill="auto"/>
            <w:vAlign w:val="center"/>
          </w:tcPr>
          <w:p>
            <w:pPr>
              <w:widowControl/>
              <w:ind w:firstLine="200" w:firstLineChars="100"/>
              <w:contextualSpacing/>
              <w:jc w:val="left"/>
              <w:rPr>
                <w:rFonts w:hint="default" w:ascii="宋体" w:hAnsi="宋体" w:cs="宋体"/>
                <w:kern w:val="0"/>
                <w:sz w:val="20"/>
                <w:szCs w:val="20"/>
                <w:lang w:val="en-US" w:eastAsia="zh-CN"/>
              </w:rPr>
            </w:pPr>
            <w:r>
              <w:rPr>
                <w:rFonts w:hint="eastAsia" w:ascii="宋体" w:hAnsi="宋体" w:eastAsia="宋体" w:cs="宋体"/>
                <w:kern w:val="0"/>
                <w:sz w:val="20"/>
                <w:szCs w:val="20"/>
                <w:lang w:eastAsia="zh-CN"/>
              </w:rPr>
              <w:t>≦</w:t>
            </w:r>
            <w:r>
              <w:rPr>
                <w:rFonts w:hint="eastAsia" w:ascii="宋体" w:hAnsi="宋体" w:cs="宋体"/>
                <w:kern w:val="0"/>
                <w:sz w:val="20"/>
                <w:szCs w:val="20"/>
                <w:lang w:val="en-US" w:eastAsia="zh-CN"/>
              </w:rPr>
              <w:t xml:space="preserve"> 90万</w:t>
            </w:r>
          </w:p>
        </w:tc>
        <w:tc>
          <w:tcPr>
            <w:tcW w:w="1827" w:type="dxa"/>
            <w:tcBorders>
              <w:left w:val="single" w:color="auto" w:sz="4" w:space="0"/>
              <w:right w:val="single" w:color="auto" w:sz="4" w:space="0"/>
            </w:tcBorders>
            <w:shd w:val="clear" w:color="auto" w:fill="auto"/>
            <w:vAlign w:val="center"/>
          </w:tcPr>
          <w:p>
            <w:pPr>
              <w:widowControl/>
              <w:contextualSpacing/>
              <w:jc w:val="left"/>
              <w:rPr>
                <w:rFonts w:hint="default" w:ascii="宋体" w:hAnsi="宋体" w:cs="宋体"/>
                <w:kern w:val="0"/>
                <w:sz w:val="20"/>
                <w:szCs w:val="20"/>
                <w:lang w:val="en-US" w:eastAsia="zh-CN"/>
              </w:rPr>
            </w:pPr>
            <w:r>
              <w:rPr>
                <w:rFonts w:hint="eastAsia" w:ascii="宋体" w:hAnsi="宋体" w:cs="宋体"/>
                <w:kern w:val="0"/>
                <w:sz w:val="20"/>
                <w:szCs w:val="20"/>
                <w:lang w:val="en-US" w:eastAsia="zh-CN"/>
              </w:rPr>
              <w:t>90万</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34"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restart"/>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效益指标</w:t>
            </w: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eastAsia="zh-CN"/>
              </w:rPr>
              <w:t>节约社会成本</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公共资源交易招投标达到节约财政资金目的</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eastAsia="zh-CN"/>
              </w:rPr>
              <w:t>节约财政资金</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15"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288" w:type="dxa"/>
            <w:gridSpan w:val="2"/>
            <w:vMerge w:val="restart"/>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营造良好的社会投资发展环境</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营造公开、公平、公正的招投标环境</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eastAsia="zh-CN"/>
              </w:rPr>
              <w:t>招投标环境公开、公平、公正</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20"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288" w:type="dxa"/>
            <w:gridSpan w:val="2"/>
            <w:vMerge w:val="continue"/>
            <w:tcBorders>
              <w:left w:val="single" w:color="auto" w:sz="4" w:space="0"/>
              <w:right w:val="single" w:color="auto" w:sz="4" w:space="0"/>
            </w:tcBorders>
            <w:shd w:val="clear" w:color="auto" w:fill="auto"/>
            <w:vAlign w:val="center"/>
          </w:tcPr>
          <w:p>
            <w:pPr>
              <w:widowControl/>
              <w:contextualSpacing/>
              <w:jc w:val="center"/>
              <w:rPr>
                <w:rFonts w:hint="eastAsia" w:ascii="宋体" w:hAnsi="宋体" w:eastAsia="宋体" w:cs="宋体"/>
                <w:kern w:val="0"/>
                <w:sz w:val="20"/>
                <w:szCs w:val="20"/>
                <w:lang w:eastAsia="zh-CN"/>
              </w:rPr>
            </w:pP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rPr>
              <w:t>评审工作质量</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rPr>
              <w:t>进一步提高评审工作质量</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rPr>
              <w:t>评审工作质量</w:t>
            </w:r>
            <w:r>
              <w:rPr>
                <w:rFonts w:hint="eastAsia" w:ascii="宋体" w:hAnsi="宋体" w:cs="宋体"/>
                <w:kern w:val="0"/>
                <w:sz w:val="20"/>
                <w:szCs w:val="20"/>
                <w:lang w:eastAsia="zh-CN"/>
              </w:rPr>
              <w:t>得到</w:t>
            </w:r>
            <w:r>
              <w:rPr>
                <w:rFonts w:hint="eastAsia" w:ascii="宋体" w:hAnsi="宋体" w:cs="宋体"/>
                <w:kern w:val="0"/>
                <w:sz w:val="20"/>
                <w:szCs w:val="20"/>
              </w:rPr>
              <w:t>提高</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32"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可持续影响指标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工作顺利开展</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eastAsia="zh-CN"/>
              </w:rPr>
              <w:t>使公共资源交易工作顺利开展</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eastAsia="zh-CN"/>
              </w:rPr>
              <w:t>公共资源交易工作开展顺利</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65"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满意度</w:t>
            </w:r>
          </w:p>
          <w:p>
            <w:pPr>
              <w:widowControl/>
              <w:contextualSpacing/>
              <w:jc w:val="center"/>
              <w:rPr>
                <w:rFonts w:ascii="宋体" w:hAnsi="宋体" w:cs="宋体"/>
                <w:kern w:val="0"/>
                <w:sz w:val="20"/>
                <w:szCs w:val="20"/>
              </w:rPr>
            </w:pPr>
            <w:r>
              <w:rPr>
                <w:rFonts w:hint="eastAsia" w:ascii="宋体" w:hAnsi="宋体" w:cs="宋体"/>
                <w:kern w:val="0"/>
                <w:sz w:val="20"/>
                <w:szCs w:val="20"/>
              </w:rPr>
              <w:t>指标</w:t>
            </w: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满意度指标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评审工作满意度</w:t>
            </w:r>
          </w:p>
        </w:tc>
        <w:tc>
          <w:tcPr>
            <w:tcW w:w="1550" w:type="dxa"/>
            <w:gridSpan w:val="2"/>
            <w:tcBorders>
              <w:left w:val="single" w:color="auto" w:sz="4" w:space="0"/>
              <w:right w:val="single" w:color="auto" w:sz="4" w:space="0"/>
            </w:tcBorders>
            <w:shd w:val="clear" w:color="auto" w:fill="auto"/>
            <w:vAlign w:val="center"/>
          </w:tcPr>
          <w:p>
            <w:pPr>
              <w:widowControl/>
              <w:ind w:firstLine="200" w:firstLineChars="100"/>
              <w:contextualSpacing/>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100%</w:t>
            </w:r>
          </w:p>
        </w:tc>
        <w:tc>
          <w:tcPr>
            <w:tcW w:w="1827" w:type="dxa"/>
            <w:tcBorders>
              <w:left w:val="single" w:color="auto" w:sz="4" w:space="0"/>
              <w:right w:val="single" w:color="auto" w:sz="4" w:space="0"/>
            </w:tcBorders>
            <w:shd w:val="clear" w:color="auto" w:fill="auto"/>
            <w:vAlign w:val="center"/>
          </w:tcPr>
          <w:p>
            <w:pPr>
              <w:widowControl/>
              <w:ind w:firstLine="200" w:firstLineChars="100"/>
              <w:contextualSpacing/>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100%</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8789" w:type="dxa"/>
            <w:gridSpan w:val="11"/>
            <w:tcBorders>
              <w:bottom w:val="single" w:color="auto" w:sz="4" w:space="0"/>
            </w:tcBorders>
            <w:shd w:val="clear" w:color="auto" w:fill="auto"/>
            <w:vAlign w:val="center"/>
          </w:tcPr>
          <w:p>
            <w:pPr>
              <w:pStyle w:val="10"/>
              <w:rPr>
                <w:b/>
                <w:bCs/>
                <w:color w:val="000000"/>
                <w:kern w:val="0"/>
                <w:sz w:val="36"/>
                <w:szCs w:val="36"/>
                <w:lang w:bidi="ar"/>
              </w:rPr>
            </w:pPr>
          </w:p>
          <w:p>
            <w:pPr>
              <w:pStyle w:val="10"/>
              <w:rPr>
                <w:b/>
                <w:bCs/>
                <w:color w:val="000000"/>
                <w:kern w:val="0"/>
                <w:sz w:val="36"/>
                <w:szCs w:val="36"/>
                <w:lang w:bidi="ar"/>
              </w:rPr>
            </w:pPr>
          </w:p>
          <w:p>
            <w:pPr>
              <w:widowControl/>
              <w:spacing w:line="580" w:lineRule="atLeast"/>
              <w:jc w:val="center"/>
              <w:textAlignment w:val="center"/>
              <w:rPr>
                <w:rFonts w:hint="eastAsia" w:ascii="宋体" w:hAnsi="宋体" w:cs="宋体"/>
                <w:b/>
                <w:bCs/>
                <w:kern w:val="0"/>
                <w:sz w:val="32"/>
                <w:szCs w:val="32"/>
              </w:rPr>
            </w:pPr>
            <w:r>
              <w:rPr>
                <w:rFonts w:hint="eastAsia" w:ascii="宋体" w:hAnsi="宋体" w:cs="宋体"/>
                <w:b/>
                <w:bCs/>
                <w:kern w:val="0"/>
                <w:sz w:val="32"/>
                <w:szCs w:val="32"/>
              </w:rPr>
              <w:t>公共资源交易业务</w:t>
            </w:r>
            <w:r>
              <w:rPr>
                <w:rFonts w:hint="eastAsia" w:ascii="宋体" w:hAnsi="宋体" w:cs="宋体"/>
                <w:b/>
                <w:bCs/>
                <w:kern w:val="0"/>
                <w:sz w:val="32"/>
                <w:szCs w:val="32"/>
                <w:lang w:eastAsia="zh-CN"/>
              </w:rPr>
              <w:t>运行</w:t>
            </w:r>
            <w:r>
              <w:rPr>
                <w:rFonts w:hint="eastAsia" w:ascii="宋体" w:hAnsi="宋体" w:cs="宋体"/>
                <w:b/>
                <w:bCs/>
                <w:kern w:val="0"/>
                <w:sz w:val="32"/>
                <w:szCs w:val="32"/>
              </w:rPr>
              <w:t>费项目绩效目标完成情况表</w:t>
            </w:r>
          </w:p>
          <w:p>
            <w:pPr>
              <w:widowControl/>
              <w:spacing w:line="580" w:lineRule="atLeast"/>
              <w:jc w:val="center"/>
              <w:textAlignment w:val="center"/>
              <w:rPr>
                <w:rFonts w:ascii="宋体" w:hAnsi="宋体" w:cs="宋体"/>
                <w:b/>
                <w:bCs/>
                <w:kern w:val="0"/>
                <w:sz w:val="32"/>
                <w:szCs w:val="32"/>
              </w:rPr>
            </w:pPr>
            <w:r>
              <w:rPr>
                <w:rFonts w:hint="eastAsia" w:ascii="宋体" w:hAnsi="宋体" w:cs="宋体"/>
                <w:kern w:val="0"/>
                <w:sz w:val="24"/>
              </w:rPr>
              <w:t>(202</w:t>
            </w:r>
            <w:r>
              <w:rPr>
                <w:rFonts w:hint="eastAsia" w:ascii="宋体" w:hAnsi="宋体" w:cs="宋体"/>
                <w:kern w:val="0"/>
                <w:sz w:val="24"/>
                <w:lang w:val="en-US" w:eastAsia="zh-CN"/>
              </w:rPr>
              <w:t>1</w:t>
            </w:r>
            <w:r>
              <w:rPr>
                <w:rFonts w:hint="eastAsia" w:ascii="宋体" w:hAnsi="宋体" w:cs="宋体"/>
                <w:kern w:val="0"/>
                <w:sz w:val="24"/>
              </w:rPr>
              <w:t>年度)</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77" w:hRule="atLeast"/>
        </w:trPr>
        <w:tc>
          <w:tcPr>
            <w:tcW w:w="2593" w:type="dxa"/>
            <w:gridSpan w:val="5"/>
            <w:tcBorders>
              <w:top w:val="single" w:color="auto" w:sz="4" w:space="0"/>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项目名称</w:t>
            </w:r>
          </w:p>
        </w:tc>
        <w:tc>
          <w:tcPr>
            <w:tcW w:w="6196" w:type="dxa"/>
            <w:gridSpan w:val="6"/>
            <w:tcBorders>
              <w:top w:val="single" w:color="auto" w:sz="4" w:space="0"/>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公共资源交易业务</w:t>
            </w:r>
            <w:r>
              <w:rPr>
                <w:rFonts w:hint="eastAsia" w:ascii="宋体" w:hAnsi="宋体" w:cs="宋体"/>
                <w:kern w:val="0"/>
                <w:sz w:val="20"/>
                <w:szCs w:val="20"/>
                <w:lang w:eastAsia="zh-CN"/>
              </w:rPr>
              <w:t>运行</w:t>
            </w:r>
            <w:r>
              <w:rPr>
                <w:rFonts w:hint="eastAsia" w:ascii="宋体" w:hAnsi="宋体" w:cs="宋体"/>
                <w:kern w:val="0"/>
                <w:sz w:val="20"/>
                <w:szCs w:val="20"/>
              </w:rPr>
              <w:t>费</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2593" w:type="dxa"/>
            <w:gridSpan w:val="5"/>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预算单位</w:t>
            </w:r>
          </w:p>
        </w:tc>
        <w:tc>
          <w:tcPr>
            <w:tcW w:w="6196" w:type="dxa"/>
            <w:gridSpan w:val="6"/>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eastAsia="zh-CN"/>
              </w:rPr>
              <w:t>泸</w:t>
            </w:r>
            <w:r>
              <w:rPr>
                <w:rFonts w:hint="eastAsia" w:ascii="宋体" w:hAnsi="宋体" w:cs="宋体"/>
                <w:kern w:val="0"/>
                <w:sz w:val="20"/>
                <w:szCs w:val="20"/>
                <w:lang w:val="en-US" w:eastAsia="zh-CN"/>
              </w:rPr>
              <w:t>县</w:t>
            </w:r>
            <w:r>
              <w:rPr>
                <w:rFonts w:hint="eastAsia" w:ascii="宋体" w:hAnsi="宋体" w:cs="宋体"/>
                <w:kern w:val="0"/>
                <w:sz w:val="20"/>
                <w:szCs w:val="20"/>
              </w:rPr>
              <w:t>公共资源交易中心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536" w:type="dxa"/>
            <w:vMerge w:val="restart"/>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预算执行情况(万元)</w:t>
            </w:r>
          </w:p>
        </w:tc>
        <w:tc>
          <w:tcPr>
            <w:tcW w:w="2057" w:type="dxa"/>
            <w:gridSpan w:val="4"/>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预算数:</w:t>
            </w:r>
          </w:p>
        </w:tc>
        <w:tc>
          <w:tcPr>
            <w:tcW w:w="2059"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val="en-US" w:eastAsia="zh-CN"/>
              </w:rPr>
              <w:t>25.06</w:t>
            </w:r>
            <w:r>
              <w:rPr>
                <w:rFonts w:hint="eastAsia" w:ascii="宋体" w:hAnsi="宋体" w:cs="宋体"/>
                <w:kern w:val="0"/>
                <w:sz w:val="20"/>
                <w:szCs w:val="20"/>
              </w:rPr>
              <w:t>万元</w:t>
            </w:r>
          </w:p>
        </w:tc>
        <w:tc>
          <w:tcPr>
            <w:tcW w:w="2056"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执行数:</w:t>
            </w:r>
          </w:p>
        </w:tc>
        <w:tc>
          <w:tcPr>
            <w:tcW w:w="208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val="en-US" w:eastAsia="zh-CN"/>
              </w:rPr>
              <w:t>25.06</w:t>
            </w:r>
            <w:r>
              <w:rPr>
                <w:rFonts w:hint="eastAsia" w:ascii="宋体" w:hAnsi="宋体" w:cs="宋体"/>
                <w:kern w:val="0"/>
                <w:sz w:val="20"/>
                <w:szCs w:val="20"/>
              </w:rPr>
              <w:t>万元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536" w:type="dxa"/>
            <w:vMerge w:val="continue"/>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p>
        </w:tc>
        <w:tc>
          <w:tcPr>
            <w:tcW w:w="2057" w:type="dxa"/>
            <w:gridSpan w:val="4"/>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其中-财政拨款:</w:t>
            </w:r>
          </w:p>
        </w:tc>
        <w:tc>
          <w:tcPr>
            <w:tcW w:w="2059"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val="en-US" w:eastAsia="zh-CN"/>
              </w:rPr>
              <w:t>25.06</w:t>
            </w:r>
            <w:r>
              <w:rPr>
                <w:rFonts w:hint="eastAsia" w:ascii="宋体" w:hAnsi="宋体" w:cs="宋体"/>
                <w:kern w:val="0"/>
                <w:sz w:val="20"/>
                <w:szCs w:val="20"/>
              </w:rPr>
              <w:t>万元</w:t>
            </w:r>
          </w:p>
        </w:tc>
        <w:tc>
          <w:tcPr>
            <w:tcW w:w="2056"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其中-财政拨款:</w:t>
            </w:r>
          </w:p>
        </w:tc>
        <w:tc>
          <w:tcPr>
            <w:tcW w:w="208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val="en-US" w:eastAsia="zh-CN"/>
              </w:rPr>
              <w:t>25.06</w:t>
            </w:r>
            <w:r>
              <w:rPr>
                <w:rFonts w:hint="eastAsia" w:ascii="宋体" w:hAnsi="宋体" w:cs="宋体"/>
                <w:kern w:val="0"/>
                <w:sz w:val="20"/>
                <w:szCs w:val="20"/>
              </w:rPr>
              <w:t>万元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536" w:type="dxa"/>
            <w:vMerge w:val="continue"/>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p>
        </w:tc>
        <w:tc>
          <w:tcPr>
            <w:tcW w:w="2057" w:type="dxa"/>
            <w:gridSpan w:val="4"/>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其它资金:</w:t>
            </w:r>
          </w:p>
        </w:tc>
        <w:tc>
          <w:tcPr>
            <w:tcW w:w="2059"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0</w:t>
            </w:r>
          </w:p>
        </w:tc>
        <w:tc>
          <w:tcPr>
            <w:tcW w:w="2056"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其它资金:</w:t>
            </w:r>
          </w:p>
        </w:tc>
        <w:tc>
          <w:tcPr>
            <w:tcW w:w="208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0</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536" w:type="dxa"/>
            <w:vMerge w:val="restart"/>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年度目标完成情况</w:t>
            </w:r>
          </w:p>
        </w:tc>
        <w:tc>
          <w:tcPr>
            <w:tcW w:w="4116" w:type="dxa"/>
            <w:gridSpan w:val="6"/>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预期目标</w:t>
            </w:r>
          </w:p>
        </w:tc>
        <w:tc>
          <w:tcPr>
            <w:tcW w:w="4137" w:type="dxa"/>
            <w:gridSpan w:val="4"/>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实际完成目标</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06" w:hRule="atLeast"/>
        </w:trPr>
        <w:tc>
          <w:tcPr>
            <w:tcW w:w="536" w:type="dxa"/>
            <w:vMerge w:val="continue"/>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p>
        </w:tc>
        <w:tc>
          <w:tcPr>
            <w:tcW w:w="4116" w:type="dxa"/>
            <w:gridSpan w:val="6"/>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通过公共资源交易业务工作的实施，有序推进政府采购、工程建设、国有资产、土地与矿权、农村产权等相关业务工作；按各项公共资源交易活动相关时间节点规定，如期开展并完成相关工作；切实降低工作支出成本，推进全</w:t>
            </w:r>
            <w:r>
              <w:rPr>
                <w:rFonts w:hint="eastAsia" w:ascii="宋体" w:hAnsi="宋体" w:cs="宋体"/>
                <w:kern w:val="0"/>
                <w:sz w:val="20"/>
                <w:szCs w:val="20"/>
                <w:lang w:eastAsia="zh-CN"/>
              </w:rPr>
              <w:t>县</w:t>
            </w:r>
            <w:r>
              <w:rPr>
                <w:rFonts w:hint="eastAsia" w:ascii="宋体" w:hAnsi="宋体" w:cs="宋体"/>
                <w:kern w:val="0"/>
                <w:sz w:val="20"/>
                <w:szCs w:val="20"/>
              </w:rPr>
              <w:t>公共资源交易活动公正、有序、高效进行，提高各方交易主体对本平台功能满意度。</w:t>
            </w:r>
          </w:p>
          <w:p>
            <w:pPr>
              <w:widowControl/>
              <w:contextualSpacing/>
              <w:jc w:val="left"/>
              <w:rPr>
                <w:rFonts w:hint="eastAsia" w:ascii="宋体" w:hAnsi="宋体" w:cs="宋体"/>
                <w:kern w:val="0"/>
                <w:sz w:val="20"/>
                <w:szCs w:val="20"/>
              </w:rPr>
            </w:pPr>
          </w:p>
        </w:tc>
        <w:tc>
          <w:tcPr>
            <w:tcW w:w="4137" w:type="dxa"/>
            <w:gridSpan w:val="4"/>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202</w:t>
            </w:r>
            <w:r>
              <w:rPr>
                <w:rFonts w:hint="eastAsia" w:ascii="宋体" w:hAnsi="宋体" w:cs="宋体"/>
                <w:kern w:val="0"/>
                <w:sz w:val="20"/>
                <w:szCs w:val="20"/>
                <w:lang w:val="en-US" w:eastAsia="zh-CN"/>
              </w:rPr>
              <w:t>1</w:t>
            </w:r>
            <w:r>
              <w:rPr>
                <w:rFonts w:hint="eastAsia" w:ascii="宋体" w:hAnsi="宋体" w:cs="宋体"/>
                <w:kern w:val="0"/>
                <w:sz w:val="20"/>
                <w:szCs w:val="20"/>
              </w:rPr>
              <w:t>年，</w:t>
            </w:r>
            <w:r>
              <w:rPr>
                <w:rFonts w:hint="eastAsia" w:ascii="宋体" w:hAnsi="宋体" w:cs="宋体"/>
                <w:kern w:val="0"/>
                <w:sz w:val="20"/>
                <w:szCs w:val="20"/>
                <w:lang w:eastAsia="zh-CN"/>
              </w:rPr>
              <w:t>泸县</w:t>
            </w:r>
            <w:r>
              <w:rPr>
                <w:rFonts w:hint="eastAsia" w:ascii="宋体" w:hAnsi="宋体" w:cs="宋体"/>
                <w:kern w:val="0"/>
                <w:sz w:val="20"/>
                <w:szCs w:val="20"/>
              </w:rPr>
              <w:t>公共资源交易中心</w:t>
            </w:r>
            <w:r>
              <w:rPr>
                <w:rFonts w:hint="eastAsia" w:ascii="宋体" w:hAnsi="宋体" w:cs="宋体"/>
                <w:kern w:val="0"/>
                <w:sz w:val="20"/>
                <w:szCs w:val="20"/>
                <w:lang w:eastAsia="zh-CN"/>
              </w:rPr>
              <w:t>完成</w:t>
            </w:r>
            <w:r>
              <w:rPr>
                <w:rFonts w:hint="eastAsia" w:ascii="宋体" w:hAnsi="宋体" w:cs="宋体"/>
                <w:kern w:val="0"/>
                <w:sz w:val="20"/>
                <w:szCs w:val="20"/>
                <w:lang w:val="en-US" w:eastAsia="zh-CN"/>
              </w:rPr>
              <w:t>政府采购125件，预算金额1.63亿元，中标金额1.54亿元，节约800余万元，节省率为5.13%。组织国有土地交易11个批次，成交33宗，起始总价17.82亿元，成交金额17.97亿元，增值1500万元。组织国有资产交易15个批次，起始总价155.07万元，成交总价167.29万元，增值12.22万元。组织集体经营性建设用地交易8个批次，起始总价9909.39万元，成交金额9922.53万元；增值13.14万元。组织采砂权交易1宗，起始价1.3059万元，成交总价1.3069万元，增值10万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2" w:hRule="atLeast"/>
        </w:trPr>
        <w:tc>
          <w:tcPr>
            <w:tcW w:w="536" w:type="dxa"/>
            <w:vMerge w:val="restart"/>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绩效指标完成情况</w:t>
            </w:r>
          </w:p>
        </w:tc>
        <w:tc>
          <w:tcPr>
            <w:tcW w:w="1172"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一级指标</w:t>
            </w:r>
          </w:p>
        </w:tc>
        <w:tc>
          <w:tcPr>
            <w:tcW w:w="885"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二级指标</w:t>
            </w:r>
          </w:p>
        </w:tc>
        <w:tc>
          <w:tcPr>
            <w:tcW w:w="2059"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三级指标</w:t>
            </w:r>
          </w:p>
        </w:tc>
        <w:tc>
          <w:tcPr>
            <w:tcW w:w="2056"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预期指标值(包含数字及文字描述)</w:t>
            </w:r>
          </w:p>
        </w:tc>
        <w:tc>
          <w:tcPr>
            <w:tcW w:w="208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实际完成指标值(包含数字及文字描述)</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9" w:hRule="atLeast"/>
        </w:trPr>
        <w:tc>
          <w:tcPr>
            <w:tcW w:w="536" w:type="dxa"/>
            <w:vMerge w:val="continue"/>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p>
        </w:tc>
        <w:tc>
          <w:tcPr>
            <w:tcW w:w="1172"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项目完成指标</w:t>
            </w:r>
          </w:p>
        </w:tc>
        <w:tc>
          <w:tcPr>
            <w:tcW w:w="885"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数量</w:t>
            </w:r>
            <w:r>
              <w:rPr>
                <w:rFonts w:hint="eastAsia" w:ascii="宋体" w:hAnsi="宋体" w:cs="宋体"/>
                <w:kern w:val="0"/>
                <w:sz w:val="20"/>
                <w:szCs w:val="20"/>
                <w:lang w:val="en-US" w:eastAsia="zh-CN"/>
              </w:rPr>
              <w:t xml:space="preserve"> </w:t>
            </w:r>
            <w:r>
              <w:rPr>
                <w:rFonts w:hint="eastAsia" w:ascii="宋体" w:hAnsi="宋体" w:cs="宋体"/>
                <w:kern w:val="0"/>
                <w:sz w:val="20"/>
                <w:szCs w:val="20"/>
              </w:rPr>
              <w:t>指标</w:t>
            </w:r>
          </w:p>
        </w:tc>
        <w:tc>
          <w:tcPr>
            <w:tcW w:w="2059"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规范操作流程，提高办事效率</w:t>
            </w:r>
          </w:p>
        </w:tc>
        <w:tc>
          <w:tcPr>
            <w:tcW w:w="2056"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规范操作流程，提高办事效率。</w:t>
            </w:r>
          </w:p>
        </w:tc>
        <w:tc>
          <w:tcPr>
            <w:tcW w:w="208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操作流程</w:t>
            </w:r>
            <w:r>
              <w:rPr>
                <w:rFonts w:hint="eastAsia" w:ascii="宋体" w:hAnsi="宋体" w:cs="宋体"/>
                <w:kern w:val="0"/>
                <w:sz w:val="20"/>
                <w:szCs w:val="20"/>
                <w:lang w:eastAsia="zh-CN"/>
              </w:rPr>
              <w:t>进一步</w:t>
            </w:r>
            <w:r>
              <w:rPr>
                <w:rFonts w:hint="eastAsia" w:ascii="宋体" w:hAnsi="宋体" w:cs="宋体"/>
                <w:kern w:val="0"/>
                <w:sz w:val="20"/>
                <w:szCs w:val="20"/>
              </w:rPr>
              <w:t>规范，办事效率</w:t>
            </w:r>
            <w:r>
              <w:rPr>
                <w:rFonts w:hint="eastAsia" w:ascii="宋体" w:hAnsi="宋体" w:cs="宋体"/>
                <w:kern w:val="0"/>
                <w:sz w:val="20"/>
                <w:szCs w:val="20"/>
                <w:lang w:eastAsia="zh-CN"/>
              </w:rPr>
              <w:t>进一步</w:t>
            </w:r>
            <w:r>
              <w:rPr>
                <w:rFonts w:hint="eastAsia" w:ascii="宋体" w:hAnsi="宋体" w:cs="宋体"/>
                <w:kern w:val="0"/>
                <w:sz w:val="20"/>
                <w:szCs w:val="20"/>
              </w:rPr>
              <w:t>提高。</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93" w:hRule="atLeast"/>
        </w:trPr>
        <w:tc>
          <w:tcPr>
            <w:tcW w:w="536" w:type="dxa"/>
            <w:vMerge w:val="continue"/>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p>
        </w:tc>
        <w:tc>
          <w:tcPr>
            <w:tcW w:w="1172" w:type="dxa"/>
            <w:gridSpan w:val="2"/>
            <w:tcBorders>
              <w:left w:val="single" w:color="auto" w:sz="4" w:space="0"/>
              <w:bottom w:val="single" w:color="000000"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项目完成指标</w:t>
            </w:r>
          </w:p>
        </w:tc>
        <w:tc>
          <w:tcPr>
            <w:tcW w:w="885" w:type="dxa"/>
            <w:gridSpan w:val="2"/>
            <w:tcBorders>
              <w:left w:val="single" w:color="auto" w:sz="4" w:space="0"/>
              <w:bottom w:val="single" w:color="000000"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质量</w:t>
            </w:r>
          </w:p>
          <w:p>
            <w:pPr>
              <w:widowControl/>
              <w:contextualSpacing/>
              <w:jc w:val="left"/>
              <w:rPr>
                <w:rFonts w:hint="eastAsia" w:ascii="宋体" w:hAnsi="宋体" w:cs="宋体"/>
                <w:kern w:val="0"/>
                <w:sz w:val="20"/>
                <w:szCs w:val="20"/>
              </w:rPr>
            </w:pPr>
            <w:r>
              <w:rPr>
                <w:rFonts w:hint="eastAsia" w:ascii="宋体" w:hAnsi="宋体" w:cs="宋体"/>
                <w:kern w:val="0"/>
                <w:sz w:val="20"/>
                <w:szCs w:val="20"/>
              </w:rPr>
              <w:t>指标</w:t>
            </w:r>
          </w:p>
        </w:tc>
        <w:tc>
          <w:tcPr>
            <w:tcW w:w="2059" w:type="dxa"/>
            <w:gridSpan w:val="2"/>
            <w:tcBorders>
              <w:left w:val="single" w:color="auto" w:sz="4" w:space="0"/>
              <w:bottom w:val="single" w:color="000000"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服务</w:t>
            </w:r>
            <w:r>
              <w:rPr>
                <w:rFonts w:hint="eastAsia" w:ascii="宋体" w:hAnsi="宋体" w:cs="宋体"/>
                <w:kern w:val="0"/>
                <w:sz w:val="20"/>
                <w:szCs w:val="20"/>
              </w:rPr>
              <w:t>优质</w:t>
            </w:r>
            <w:r>
              <w:rPr>
                <w:rFonts w:hint="eastAsia" w:ascii="宋体" w:hAnsi="宋体" w:cs="宋体"/>
                <w:kern w:val="0"/>
                <w:sz w:val="20"/>
                <w:szCs w:val="20"/>
                <w:lang w:eastAsia="zh-CN"/>
              </w:rPr>
              <w:t>、</w:t>
            </w:r>
            <w:r>
              <w:rPr>
                <w:rFonts w:hint="eastAsia" w:ascii="宋体" w:hAnsi="宋体" w:cs="宋体"/>
                <w:kern w:val="0"/>
                <w:sz w:val="20"/>
                <w:szCs w:val="20"/>
              </w:rPr>
              <w:t>高效</w:t>
            </w:r>
            <w:r>
              <w:rPr>
                <w:rFonts w:hint="eastAsia" w:ascii="宋体" w:hAnsi="宋体" w:cs="宋体"/>
                <w:kern w:val="0"/>
                <w:sz w:val="20"/>
                <w:szCs w:val="20"/>
                <w:lang w:eastAsia="zh-CN"/>
              </w:rPr>
              <w:t>、</w:t>
            </w:r>
            <w:r>
              <w:rPr>
                <w:rFonts w:hint="eastAsia" w:ascii="宋体" w:hAnsi="宋体" w:cs="宋体"/>
                <w:kern w:val="0"/>
                <w:sz w:val="20"/>
                <w:szCs w:val="20"/>
              </w:rPr>
              <w:t>便捷</w:t>
            </w:r>
          </w:p>
        </w:tc>
        <w:tc>
          <w:tcPr>
            <w:tcW w:w="2056" w:type="dxa"/>
            <w:gridSpan w:val="2"/>
            <w:tcBorders>
              <w:left w:val="single" w:color="auto" w:sz="4" w:space="0"/>
              <w:bottom w:val="single" w:color="000000"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优质服务，高效服务，便捷服务。</w:t>
            </w:r>
          </w:p>
        </w:tc>
        <w:tc>
          <w:tcPr>
            <w:tcW w:w="2081" w:type="dxa"/>
            <w:gridSpan w:val="2"/>
            <w:tcBorders>
              <w:left w:val="single" w:color="auto" w:sz="4" w:space="0"/>
              <w:bottom w:val="single" w:color="000000"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val="en-US" w:eastAsia="zh-CN"/>
              </w:rPr>
            </w:pPr>
            <w:r>
              <w:rPr>
                <w:rFonts w:hint="eastAsia" w:ascii="宋体" w:hAnsi="宋体" w:cs="宋体"/>
                <w:kern w:val="0"/>
                <w:sz w:val="20"/>
                <w:szCs w:val="20"/>
                <w:lang w:eastAsia="zh-CN"/>
              </w:rPr>
              <w:t>服务</w:t>
            </w:r>
            <w:r>
              <w:rPr>
                <w:rFonts w:hint="eastAsia" w:ascii="宋体" w:hAnsi="宋体" w:cs="宋体"/>
                <w:kern w:val="0"/>
                <w:sz w:val="20"/>
                <w:szCs w:val="20"/>
              </w:rPr>
              <w:t>优质</w:t>
            </w:r>
            <w:r>
              <w:rPr>
                <w:rFonts w:hint="eastAsia" w:ascii="宋体" w:hAnsi="宋体" w:cs="宋体"/>
                <w:kern w:val="0"/>
                <w:sz w:val="20"/>
                <w:szCs w:val="20"/>
                <w:lang w:eastAsia="zh-CN"/>
              </w:rPr>
              <w:t>、</w:t>
            </w:r>
            <w:r>
              <w:rPr>
                <w:rFonts w:hint="eastAsia" w:ascii="宋体" w:hAnsi="宋体" w:cs="宋体"/>
                <w:kern w:val="0"/>
                <w:sz w:val="20"/>
                <w:szCs w:val="20"/>
              </w:rPr>
              <w:t>高效</w:t>
            </w:r>
            <w:r>
              <w:rPr>
                <w:rFonts w:hint="eastAsia" w:ascii="宋体" w:hAnsi="宋体" w:cs="宋体"/>
                <w:kern w:val="0"/>
                <w:sz w:val="20"/>
                <w:szCs w:val="20"/>
                <w:lang w:eastAsia="zh-CN"/>
              </w:rPr>
              <w:t>、</w:t>
            </w:r>
            <w:r>
              <w:rPr>
                <w:rFonts w:hint="eastAsia" w:ascii="宋体" w:hAnsi="宋体" w:cs="宋体"/>
                <w:kern w:val="0"/>
                <w:sz w:val="20"/>
                <w:szCs w:val="20"/>
              </w:rPr>
              <w:t>便捷</w:t>
            </w:r>
            <w:r>
              <w:rPr>
                <w:rFonts w:hint="eastAsia" w:ascii="宋体" w:hAnsi="宋体" w:cs="宋体"/>
                <w:kern w:val="0"/>
                <w:sz w:val="20"/>
                <w:szCs w:val="20"/>
                <w:lang w:eastAsia="zh-CN"/>
              </w:rPr>
              <w:t>。</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exact"/>
        </w:trPr>
        <w:tc>
          <w:tcPr>
            <w:tcW w:w="536" w:type="dxa"/>
            <w:vMerge w:val="continue"/>
            <w:tcBorders>
              <w:left w:val="single" w:color="auto" w:sz="4" w:space="0"/>
              <w:right w:val="single" w:color="000000" w:sz="4" w:space="0"/>
            </w:tcBorders>
            <w:vAlign w:val="center"/>
          </w:tcPr>
          <w:p>
            <w:pPr>
              <w:widowControl/>
              <w:contextualSpacing/>
              <w:jc w:val="left"/>
              <w:rPr>
                <w:rFonts w:hint="eastAsia" w:ascii="宋体" w:hAnsi="宋体" w:cs="宋体"/>
                <w:kern w:val="0"/>
                <w:sz w:val="20"/>
                <w:szCs w:val="20"/>
              </w:rPr>
            </w:pPr>
          </w:p>
        </w:tc>
        <w:tc>
          <w:tcPr>
            <w:tcW w:w="1172" w:type="dxa"/>
            <w:gridSpan w:val="2"/>
            <w:tcBorders>
              <w:top w:val="single" w:color="000000" w:sz="4" w:space="0"/>
              <w:left w:val="single" w:color="000000" w:sz="4" w:space="0"/>
              <w:bottom w:val="single" w:color="000000" w:sz="4" w:space="0"/>
              <w:right w:val="single" w:color="auto" w:sz="4" w:space="0"/>
            </w:tcBorders>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项目完成指标</w:t>
            </w:r>
          </w:p>
        </w:tc>
        <w:tc>
          <w:tcPr>
            <w:tcW w:w="885"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时效</w:t>
            </w:r>
          </w:p>
          <w:p>
            <w:pPr>
              <w:widowControl/>
              <w:contextualSpacing/>
              <w:jc w:val="left"/>
              <w:rPr>
                <w:rFonts w:hint="eastAsia" w:ascii="宋体" w:hAnsi="宋体" w:cs="宋体"/>
                <w:kern w:val="0"/>
                <w:sz w:val="20"/>
                <w:szCs w:val="20"/>
              </w:rPr>
            </w:pPr>
            <w:r>
              <w:rPr>
                <w:rFonts w:hint="eastAsia" w:ascii="宋体" w:hAnsi="宋体" w:cs="宋体"/>
                <w:kern w:val="0"/>
                <w:sz w:val="20"/>
                <w:szCs w:val="20"/>
              </w:rPr>
              <w:t>指标</w:t>
            </w:r>
          </w:p>
        </w:tc>
        <w:tc>
          <w:tcPr>
            <w:tcW w:w="2059"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eastAsia="zh-CN"/>
              </w:rPr>
              <w:t>完成交易项目活动时间</w:t>
            </w:r>
          </w:p>
        </w:tc>
        <w:tc>
          <w:tcPr>
            <w:tcW w:w="205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eastAsia="zh-CN"/>
              </w:rPr>
              <w:t>202</w:t>
            </w:r>
            <w:r>
              <w:rPr>
                <w:rFonts w:hint="eastAsia" w:ascii="宋体" w:hAnsi="宋体" w:cs="宋体"/>
                <w:kern w:val="0"/>
                <w:sz w:val="20"/>
                <w:szCs w:val="20"/>
                <w:lang w:val="en-US" w:eastAsia="zh-CN"/>
              </w:rPr>
              <w:t>1</w:t>
            </w:r>
            <w:r>
              <w:rPr>
                <w:rFonts w:hint="eastAsia" w:ascii="宋体" w:hAnsi="宋体" w:cs="宋体"/>
                <w:kern w:val="0"/>
                <w:sz w:val="20"/>
                <w:szCs w:val="20"/>
                <w:lang w:eastAsia="zh-CN"/>
              </w:rPr>
              <w:t xml:space="preserve"> 年12月31日前</w:t>
            </w:r>
          </w:p>
        </w:tc>
        <w:tc>
          <w:tcPr>
            <w:tcW w:w="208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eastAsia="zh-CN"/>
              </w:rPr>
              <w:t>202</w:t>
            </w:r>
            <w:r>
              <w:rPr>
                <w:rFonts w:hint="eastAsia" w:ascii="宋体" w:hAnsi="宋体" w:cs="宋体"/>
                <w:kern w:val="0"/>
                <w:sz w:val="20"/>
                <w:szCs w:val="20"/>
                <w:lang w:val="en-US" w:eastAsia="zh-CN"/>
              </w:rPr>
              <w:t>1</w:t>
            </w:r>
            <w:r>
              <w:rPr>
                <w:rFonts w:hint="eastAsia" w:ascii="宋体" w:hAnsi="宋体" w:cs="宋体"/>
                <w:kern w:val="0"/>
                <w:sz w:val="20"/>
                <w:szCs w:val="20"/>
                <w:lang w:eastAsia="zh-CN"/>
              </w:rPr>
              <w:t>年 12月31日前</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exact"/>
        </w:trPr>
        <w:tc>
          <w:tcPr>
            <w:tcW w:w="536" w:type="dxa"/>
            <w:vMerge w:val="continue"/>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p>
        </w:tc>
        <w:tc>
          <w:tcPr>
            <w:tcW w:w="1172" w:type="dxa"/>
            <w:gridSpan w:val="2"/>
            <w:tcBorders>
              <w:top w:val="single" w:color="000000" w:sz="4" w:space="0"/>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项目完成指标</w:t>
            </w:r>
          </w:p>
        </w:tc>
        <w:tc>
          <w:tcPr>
            <w:tcW w:w="885" w:type="dxa"/>
            <w:gridSpan w:val="2"/>
            <w:tcBorders>
              <w:top w:val="single" w:color="000000" w:sz="4" w:space="0"/>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成本</w:t>
            </w:r>
          </w:p>
          <w:p>
            <w:pPr>
              <w:widowControl/>
              <w:contextualSpacing/>
              <w:jc w:val="left"/>
              <w:rPr>
                <w:rFonts w:hint="eastAsia" w:ascii="宋体" w:hAnsi="宋体" w:cs="宋体"/>
                <w:kern w:val="0"/>
                <w:sz w:val="20"/>
                <w:szCs w:val="20"/>
              </w:rPr>
            </w:pPr>
            <w:r>
              <w:rPr>
                <w:rFonts w:hint="eastAsia" w:ascii="宋体" w:hAnsi="宋体" w:cs="宋体"/>
                <w:kern w:val="0"/>
                <w:sz w:val="20"/>
                <w:szCs w:val="20"/>
              </w:rPr>
              <w:t>指标</w:t>
            </w:r>
          </w:p>
        </w:tc>
        <w:tc>
          <w:tcPr>
            <w:tcW w:w="2059" w:type="dxa"/>
            <w:gridSpan w:val="2"/>
            <w:tcBorders>
              <w:top w:val="single" w:color="000000" w:sz="4" w:space="0"/>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全年交易活动</w:t>
            </w:r>
            <w:r>
              <w:rPr>
                <w:rFonts w:hint="eastAsia" w:ascii="宋体" w:hAnsi="宋体" w:cs="宋体"/>
                <w:kern w:val="0"/>
                <w:sz w:val="20"/>
                <w:szCs w:val="20"/>
                <w:lang w:eastAsia="zh-CN"/>
              </w:rPr>
              <w:t>业务</w:t>
            </w:r>
            <w:r>
              <w:rPr>
                <w:rFonts w:hint="eastAsia" w:ascii="宋体" w:hAnsi="宋体" w:cs="宋体"/>
                <w:kern w:val="0"/>
                <w:sz w:val="20"/>
                <w:szCs w:val="20"/>
              </w:rPr>
              <w:t>费用</w:t>
            </w:r>
          </w:p>
        </w:tc>
        <w:tc>
          <w:tcPr>
            <w:tcW w:w="2056" w:type="dxa"/>
            <w:gridSpan w:val="2"/>
            <w:tcBorders>
              <w:top w:val="single" w:color="000000" w:sz="4" w:space="0"/>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w:t>
            </w:r>
            <w:r>
              <w:rPr>
                <w:rFonts w:hint="eastAsia" w:ascii="宋体" w:hAnsi="宋体" w:cs="宋体"/>
                <w:kern w:val="0"/>
                <w:sz w:val="20"/>
                <w:szCs w:val="20"/>
                <w:lang w:val="en-US" w:eastAsia="zh-CN"/>
              </w:rPr>
              <w:t>25.06</w:t>
            </w:r>
            <w:r>
              <w:rPr>
                <w:rFonts w:hint="eastAsia" w:ascii="宋体" w:hAnsi="宋体" w:cs="宋体"/>
                <w:kern w:val="0"/>
                <w:sz w:val="20"/>
                <w:szCs w:val="20"/>
              </w:rPr>
              <w:t>万元</w:t>
            </w:r>
          </w:p>
        </w:tc>
        <w:tc>
          <w:tcPr>
            <w:tcW w:w="2081" w:type="dxa"/>
            <w:gridSpan w:val="2"/>
            <w:tcBorders>
              <w:top w:val="single" w:color="000000" w:sz="4" w:space="0"/>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val="en-US" w:eastAsia="zh-CN"/>
              </w:rPr>
              <w:t>25.06</w:t>
            </w:r>
            <w:r>
              <w:rPr>
                <w:rFonts w:hint="eastAsia" w:ascii="宋体" w:hAnsi="宋体" w:cs="宋体"/>
                <w:kern w:val="0"/>
                <w:sz w:val="20"/>
                <w:szCs w:val="20"/>
              </w:rPr>
              <w:t>万元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42" w:hRule="exact"/>
        </w:trPr>
        <w:tc>
          <w:tcPr>
            <w:tcW w:w="536" w:type="dxa"/>
            <w:vMerge w:val="continue"/>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p>
        </w:tc>
        <w:tc>
          <w:tcPr>
            <w:tcW w:w="1172" w:type="dxa"/>
            <w:gridSpan w:val="2"/>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项目完成指标</w:t>
            </w:r>
          </w:p>
        </w:tc>
        <w:tc>
          <w:tcPr>
            <w:tcW w:w="885"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社会效益指标</w:t>
            </w:r>
          </w:p>
        </w:tc>
        <w:tc>
          <w:tcPr>
            <w:tcW w:w="2059"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提高服务效率，营造良好营商环境</w:t>
            </w:r>
          </w:p>
        </w:tc>
        <w:tc>
          <w:tcPr>
            <w:tcW w:w="2056"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提高服务效率，营造良好的营商环境</w:t>
            </w:r>
          </w:p>
        </w:tc>
        <w:tc>
          <w:tcPr>
            <w:tcW w:w="208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rPr>
              <w:t>服务效率</w:t>
            </w:r>
            <w:r>
              <w:rPr>
                <w:rFonts w:hint="eastAsia" w:ascii="宋体" w:hAnsi="宋体" w:cs="宋体"/>
                <w:kern w:val="0"/>
                <w:sz w:val="20"/>
                <w:szCs w:val="20"/>
                <w:lang w:eastAsia="zh-CN"/>
              </w:rPr>
              <w:t>得到</w:t>
            </w:r>
            <w:r>
              <w:rPr>
                <w:rFonts w:hint="eastAsia" w:ascii="宋体" w:hAnsi="宋体" w:cs="宋体"/>
                <w:kern w:val="0"/>
                <w:sz w:val="20"/>
                <w:szCs w:val="20"/>
              </w:rPr>
              <w:t>提高，营商环境</w:t>
            </w:r>
            <w:r>
              <w:rPr>
                <w:rFonts w:hint="eastAsia" w:ascii="宋体" w:hAnsi="宋体" w:cs="宋体"/>
                <w:kern w:val="0"/>
                <w:sz w:val="20"/>
                <w:szCs w:val="20"/>
                <w:lang w:eastAsia="zh-CN"/>
              </w:rPr>
              <w:t>进一步得到优化</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12" w:hRule="exact"/>
        </w:trPr>
        <w:tc>
          <w:tcPr>
            <w:tcW w:w="536" w:type="dxa"/>
            <w:vMerge w:val="continue"/>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p>
        </w:tc>
        <w:tc>
          <w:tcPr>
            <w:tcW w:w="1172" w:type="dxa"/>
            <w:gridSpan w:val="2"/>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项目完成指标</w:t>
            </w:r>
          </w:p>
        </w:tc>
        <w:tc>
          <w:tcPr>
            <w:tcW w:w="885"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满意度指标</w:t>
            </w:r>
          </w:p>
        </w:tc>
        <w:tc>
          <w:tcPr>
            <w:tcW w:w="2059"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创建示范中心</w:t>
            </w:r>
          </w:p>
        </w:tc>
        <w:tc>
          <w:tcPr>
            <w:tcW w:w="2056"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eastAsia="zh-CN"/>
              </w:rPr>
              <w:t>争创</w:t>
            </w:r>
            <w:r>
              <w:rPr>
                <w:rFonts w:hint="eastAsia" w:ascii="宋体" w:hAnsi="宋体" w:cs="宋体"/>
                <w:kern w:val="0"/>
                <w:sz w:val="20"/>
                <w:szCs w:val="20"/>
              </w:rPr>
              <w:t>全</w:t>
            </w:r>
            <w:r>
              <w:rPr>
                <w:rFonts w:hint="eastAsia" w:ascii="宋体" w:hAnsi="宋体" w:cs="宋体"/>
                <w:kern w:val="0"/>
                <w:sz w:val="20"/>
                <w:szCs w:val="20"/>
                <w:lang w:eastAsia="zh-CN"/>
              </w:rPr>
              <w:t>省</w:t>
            </w:r>
            <w:r>
              <w:rPr>
                <w:rFonts w:hint="eastAsia" w:ascii="宋体" w:hAnsi="宋体" w:cs="宋体"/>
                <w:kern w:val="0"/>
                <w:sz w:val="20"/>
                <w:szCs w:val="20"/>
              </w:rPr>
              <w:t>标准化规范化</w:t>
            </w:r>
            <w:r>
              <w:rPr>
                <w:rFonts w:hint="eastAsia" w:ascii="宋体" w:hAnsi="宋体" w:cs="宋体"/>
                <w:kern w:val="0"/>
                <w:sz w:val="20"/>
                <w:szCs w:val="20"/>
                <w:lang w:eastAsia="zh-CN"/>
              </w:rPr>
              <w:t>建设</w:t>
            </w:r>
            <w:r>
              <w:rPr>
                <w:rFonts w:hint="eastAsia" w:ascii="宋体" w:hAnsi="宋体" w:cs="宋体"/>
                <w:kern w:val="0"/>
                <w:sz w:val="20"/>
                <w:szCs w:val="20"/>
              </w:rPr>
              <w:t>“示范交易中心</w:t>
            </w:r>
            <w:r>
              <w:rPr>
                <w:rFonts w:hint="eastAsia" w:ascii="宋体" w:hAnsi="宋体" w:cs="宋体"/>
                <w:kern w:val="0"/>
                <w:sz w:val="20"/>
                <w:szCs w:val="20"/>
                <w:lang w:eastAsia="zh-CN"/>
              </w:rPr>
              <w:t>”</w:t>
            </w:r>
          </w:p>
        </w:tc>
        <w:tc>
          <w:tcPr>
            <w:tcW w:w="208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建成</w:t>
            </w:r>
            <w:r>
              <w:rPr>
                <w:rFonts w:hint="eastAsia" w:ascii="宋体" w:hAnsi="宋体" w:cs="宋体"/>
                <w:kern w:val="0"/>
                <w:sz w:val="20"/>
                <w:szCs w:val="20"/>
              </w:rPr>
              <w:t>全</w:t>
            </w:r>
            <w:r>
              <w:rPr>
                <w:rFonts w:hint="eastAsia" w:ascii="宋体" w:hAnsi="宋体" w:cs="宋体"/>
                <w:kern w:val="0"/>
                <w:sz w:val="20"/>
                <w:szCs w:val="20"/>
                <w:lang w:eastAsia="zh-CN"/>
              </w:rPr>
              <w:t>省</w:t>
            </w:r>
            <w:r>
              <w:rPr>
                <w:rFonts w:hint="eastAsia" w:ascii="宋体" w:hAnsi="宋体" w:cs="宋体"/>
                <w:kern w:val="0"/>
                <w:sz w:val="20"/>
                <w:szCs w:val="20"/>
              </w:rPr>
              <w:t>标准化规范化</w:t>
            </w:r>
            <w:r>
              <w:rPr>
                <w:rFonts w:hint="eastAsia" w:ascii="宋体" w:hAnsi="宋体" w:cs="宋体"/>
                <w:kern w:val="0"/>
                <w:sz w:val="20"/>
                <w:szCs w:val="20"/>
                <w:lang w:eastAsia="zh-CN"/>
              </w:rPr>
              <w:t>建设</w:t>
            </w:r>
            <w:r>
              <w:rPr>
                <w:rFonts w:hint="eastAsia" w:ascii="宋体" w:hAnsi="宋体" w:cs="宋体"/>
                <w:kern w:val="0"/>
                <w:sz w:val="20"/>
                <w:szCs w:val="20"/>
              </w:rPr>
              <w:t>“示范交易中心</w:t>
            </w:r>
            <w:r>
              <w:rPr>
                <w:rFonts w:hint="eastAsia" w:ascii="宋体" w:hAnsi="宋体" w:cs="宋体"/>
                <w:kern w:val="0"/>
                <w:sz w:val="20"/>
                <w:szCs w:val="20"/>
                <w:lang w:eastAsia="zh-CN"/>
              </w:rPr>
              <w:t>”</w:t>
            </w:r>
          </w:p>
        </w:tc>
      </w:tr>
    </w:tbl>
    <w:p>
      <w:pPr>
        <w:pStyle w:val="30"/>
        <w:keepNext w:val="0"/>
        <w:keepLines w:val="0"/>
        <w:pageBreakBefore w:val="0"/>
        <w:kinsoku/>
        <w:wordWrap/>
        <w:overflowPunct/>
        <w:topLinePunct w:val="0"/>
        <w:bidi w:val="0"/>
        <w:snapToGrid/>
        <w:spacing w:line="578" w:lineRule="exact"/>
        <w:ind w:firstLine="643" w:firstLineChars="200"/>
        <w:contextualSpacing/>
        <w:jc w:val="both"/>
        <w:textAlignment w:val="auto"/>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2.部门绩效评价结果。</w:t>
      </w:r>
    </w:p>
    <w:p>
      <w:pPr>
        <w:keepNext w:val="0"/>
        <w:keepLines w:val="0"/>
        <w:pageBreakBefore w:val="0"/>
        <w:kinsoku/>
        <w:wordWrap/>
        <w:overflowPunct/>
        <w:topLinePunct w:val="0"/>
        <w:bidi w:val="0"/>
        <w:snapToGrid/>
        <w:spacing w:line="578"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我中心按要求对202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年部门整体支出绩效评价情况开展自评，《</w:t>
      </w:r>
      <w:r>
        <w:rPr>
          <w:rFonts w:hint="eastAsia" w:ascii="仿宋" w:hAnsi="仿宋" w:eastAsia="仿宋"/>
          <w:color w:val="000000"/>
          <w:sz w:val="32"/>
          <w:szCs w:val="32"/>
          <w:lang w:eastAsia="zh-CN"/>
        </w:rPr>
        <w:t>泸县</w:t>
      </w:r>
      <w:r>
        <w:rPr>
          <w:rFonts w:hint="eastAsia" w:ascii="仿宋" w:hAnsi="仿宋" w:eastAsia="仿宋"/>
          <w:color w:val="000000"/>
          <w:sz w:val="32"/>
          <w:szCs w:val="32"/>
        </w:rPr>
        <w:t>公共资源交易中心202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年部门整体支出绩效评价报告》见附件（附件1）。</w:t>
      </w:r>
    </w:p>
    <w:p>
      <w:pPr>
        <w:keepNext w:val="0"/>
        <w:keepLines w:val="0"/>
        <w:pageBreakBefore w:val="0"/>
        <w:kinsoku/>
        <w:wordWrap/>
        <w:overflowPunct/>
        <w:topLinePunct w:val="0"/>
        <w:bidi w:val="0"/>
        <w:snapToGrid/>
        <w:spacing w:line="578"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本部门自行组织对专家评审费</w:t>
      </w:r>
      <w:r>
        <w:rPr>
          <w:rFonts w:hint="eastAsia" w:ascii="仿宋" w:hAnsi="仿宋" w:eastAsia="仿宋"/>
          <w:color w:val="000000"/>
          <w:sz w:val="32"/>
          <w:szCs w:val="32"/>
          <w:lang w:eastAsia="zh-CN"/>
        </w:rPr>
        <w:t>、</w:t>
      </w:r>
      <w:r>
        <w:rPr>
          <w:rFonts w:hint="eastAsia" w:ascii="仿宋" w:hAnsi="仿宋" w:eastAsia="仿宋"/>
          <w:color w:val="000000"/>
          <w:sz w:val="32"/>
          <w:szCs w:val="32"/>
        </w:rPr>
        <w:t>交易业务</w:t>
      </w:r>
      <w:r>
        <w:rPr>
          <w:rFonts w:hint="eastAsia" w:ascii="仿宋" w:hAnsi="仿宋" w:eastAsia="仿宋"/>
          <w:color w:val="000000"/>
          <w:sz w:val="32"/>
          <w:szCs w:val="32"/>
          <w:lang w:eastAsia="zh-CN"/>
        </w:rPr>
        <w:t>运行</w:t>
      </w:r>
      <w:r>
        <w:rPr>
          <w:rFonts w:hint="eastAsia" w:ascii="仿宋" w:hAnsi="仿宋" w:eastAsia="仿宋"/>
          <w:color w:val="000000"/>
          <w:sz w:val="32"/>
          <w:szCs w:val="32"/>
        </w:rPr>
        <w:t>费项目开展了绩效评价，《</w:t>
      </w:r>
      <w:r>
        <w:rPr>
          <w:rFonts w:hint="eastAsia" w:ascii="仿宋" w:hAnsi="仿宋" w:eastAsia="仿宋"/>
          <w:color w:val="000000"/>
          <w:sz w:val="32"/>
          <w:szCs w:val="32"/>
          <w:lang w:eastAsia="zh-CN"/>
        </w:rPr>
        <w:t>泸县</w:t>
      </w:r>
      <w:r>
        <w:rPr>
          <w:rFonts w:hint="eastAsia" w:ascii="仿宋" w:hAnsi="仿宋" w:eastAsia="仿宋"/>
          <w:color w:val="000000"/>
          <w:sz w:val="32"/>
          <w:szCs w:val="32"/>
        </w:rPr>
        <w:t>公共资源交易中心202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年绩效评价报告》见附件（附件2）。</w:t>
      </w:r>
    </w:p>
    <w:p>
      <w:pPr>
        <w:keepNext w:val="0"/>
        <w:keepLines w:val="0"/>
        <w:pageBreakBefore w:val="0"/>
        <w:widowControl/>
        <w:kinsoku/>
        <w:wordWrap/>
        <w:overflowPunct/>
        <w:topLinePunct w:val="0"/>
        <w:bidi w:val="0"/>
        <w:snapToGrid/>
        <w:spacing w:line="578" w:lineRule="exact"/>
        <w:jc w:val="left"/>
        <w:textAlignment w:val="auto"/>
        <w:rPr>
          <w:rFonts w:ascii="仿宋_GB2312" w:eastAsia="仿宋_GB2312"/>
          <w:b/>
          <w:color w:val="000000"/>
          <w:sz w:val="32"/>
          <w:szCs w:val="32"/>
        </w:rPr>
      </w:pPr>
      <w:r>
        <w:rPr>
          <w:rFonts w:ascii="仿宋_GB2312" w:eastAsia="仿宋_GB2312"/>
          <w:b/>
          <w:color w:val="000000"/>
          <w:sz w:val="32"/>
          <w:szCs w:val="32"/>
        </w:rPr>
        <w:br w:type="page"/>
      </w:r>
    </w:p>
    <w:p>
      <w:pPr>
        <w:pageBreakBefore w:val="0"/>
        <w:numPr>
          <w:ilvl w:val="0"/>
          <w:numId w:val="2"/>
        </w:numPr>
        <w:kinsoku/>
        <w:wordWrap/>
        <w:overflowPunct/>
        <w:topLinePunct w:val="0"/>
        <w:bidi w:val="0"/>
        <w:spacing w:line="578" w:lineRule="exact"/>
        <w:ind w:firstLine="660" w:firstLineChars="150"/>
        <w:jc w:val="center"/>
        <w:textAlignment w:val="auto"/>
        <w:outlineLvl w:val="0"/>
        <w:rPr>
          <w:rStyle w:val="37"/>
          <w:rFonts w:ascii="黑体" w:hAnsi="黑体" w:eastAsia="黑体"/>
          <w:b w:val="0"/>
        </w:rPr>
      </w:pPr>
      <w:bookmarkStart w:id="77" w:name="_Toc23752"/>
      <w:bookmarkStart w:id="78" w:name="_Toc15377225"/>
      <w:bookmarkStart w:id="79" w:name="_Toc3921"/>
      <w:bookmarkStart w:id="80" w:name="_Toc15396613"/>
      <w:r>
        <w:rPr>
          <w:rFonts w:hint="eastAsia" w:ascii="黑体" w:hAnsi="黑体" w:eastAsia="黑体"/>
          <w:color w:val="000000"/>
          <w:sz w:val="44"/>
          <w:szCs w:val="44"/>
        </w:rPr>
        <w:t>名</w:t>
      </w:r>
      <w:r>
        <w:rPr>
          <w:rStyle w:val="37"/>
          <w:rFonts w:hint="eastAsia" w:ascii="黑体" w:hAnsi="黑体" w:eastAsia="黑体"/>
          <w:b w:val="0"/>
        </w:rPr>
        <w:t>词解释</w:t>
      </w:r>
      <w:bookmarkEnd w:id="77"/>
      <w:bookmarkEnd w:id="78"/>
      <w:bookmarkEnd w:id="79"/>
      <w:bookmarkEnd w:id="80"/>
    </w:p>
    <w:p>
      <w:pPr>
        <w:pageBreakBefore w:val="0"/>
        <w:kinsoku/>
        <w:wordWrap/>
        <w:overflowPunct/>
        <w:topLinePunct w:val="0"/>
        <w:bidi w:val="0"/>
        <w:spacing w:line="578" w:lineRule="exact"/>
        <w:jc w:val="left"/>
        <w:textAlignment w:val="auto"/>
        <w:rPr>
          <w:rFonts w:ascii="宋体"/>
          <w:b/>
          <w:color w:val="000000"/>
          <w:sz w:val="44"/>
          <w:szCs w:val="44"/>
        </w:rPr>
      </w:pPr>
    </w:p>
    <w:p>
      <w:pPr>
        <w:pStyle w:val="30"/>
        <w:pageBreakBefore w:val="0"/>
        <w:kinsoku/>
        <w:wordWrap/>
        <w:overflowPunct/>
        <w:topLinePunct w:val="0"/>
        <w:bidi w:val="0"/>
        <w:spacing w:line="578" w:lineRule="exact"/>
        <w:ind w:firstLine="640" w:firstLineChars="200"/>
        <w:textAlignment w:val="auto"/>
        <w:rPr>
          <w:rFonts w:hAnsi="仿宋"/>
          <w:sz w:val="32"/>
          <w:szCs w:val="32"/>
        </w:rPr>
      </w:pPr>
      <w:bookmarkStart w:id="81" w:name="_Toc15377226"/>
      <w:r>
        <w:rPr>
          <w:rFonts w:hAnsi="仿宋"/>
          <w:sz w:val="32"/>
          <w:szCs w:val="32"/>
        </w:rPr>
        <w:t>1.</w:t>
      </w:r>
      <w:r>
        <w:rPr>
          <w:rFonts w:hint="eastAsia" w:hAnsi="仿宋"/>
          <w:sz w:val="32"/>
          <w:szCs w:val="32"/>
        </w:rPr>
        <w:t>财政拨款收入：指单位从同级财政部门取得的财政预算资金。</w:t>
      </w:r>
    </w:p>
    <w:p>
      <w:pPr>
        <w:pStyle w:val="30"/>
        <w:pageBreakBefore w:val="0"/>
        <w:kinsoku/>
        <w:wordWrap/>
        <w:overflowPunct/>
        <w:topLinePunct w:val="0"/>
        <w:bidi w:val="0"/>
        <w:spacing w:line="578" w:lineRule="exact"/>
        <w:ind w:firstLine="640" w:firstLineChars="200"/>
        <w:textAlignment w:val="auto"/>
        <w:rPr>
          <w:rFonts w:hAnsi="仿宋"/>
          <w:sz w:val="32"/>
          <w:szCs w:val="32"/>
        </w:rPr>
      </w:pPr>
      <w:r>
        <w:rPr>
          <w:rFonts w:hint="eastAsia" w:hAnsi="仿宋"/>
          <w:sz w:val="32"/>
          <w:szCs w:val="32"/>
          <w:lang w:val="en-US" w:eastAsia="zh-CN"/>
        </w:rPr>
        <w:t>2</w:t>
      </w:r>
      <w:r>
        <w:rPr>
          <w:rFonts w:hAnsi="仿宋"/>
          <w:sz w:val="32"/>
          <w:szCs w:val="32"/>
        </w:rPr>
        <w:t>.</w:t>
      </w:r>
      <w:r>
        <w:rPr>
          <w:rFonts w:hint="eastAsia" w:hAnsi="仿宋"/>
          <w:sz w:val="32"/>
          <w:szCs w:val="32"/>
        </w:rPr>
        <w:t>年初结转和结余：指以前年度尚未完成、结转到本年按有关规定继续使用的资金。</w:t>
      </w:r>
      <w:r>
        <w:rPr>
          <w:rFonts w:hAnsi="仿宋"/>
          <w:sz w:val="32"/>
          <w:szCs w:val="32"/>
        </w:rPr>
        <w:t xml:space="preserve"> </w:t>
      </w:r>
    </w:p>
    <w:p>
      <w:pPr>
        <w:pageBreakBefore w:val="0"/>
        <w:kinsoku/>
        <w:wordWrap/>
        <w:overflowPunct/>
        <w:topLinePunct w:val="0"/>
        <w:bidi w:val="0"/>
        <w:spacing w:line="578"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lang w:val="en-US" w:eastAsia="zh-CN"/>
        </w:rPr>
        <w:t>3</w:t>
      </w:r>
      <w:r>
        <w:rPr>
          <w:rFonts w:ascii="仿宋" w:hAnsi="仿宋" w:eastAsia="仿宋"/>
          <w:color w:val="000000"/>
          <w:sz w:val="32"/>
          <w:szCs w:val="32"/>
        </w:rPr>
        <w:t>.</w:t>
      </w:r>
      <w:r>
        <w:rPr>
          <w:rFonts w:hint="eastAsia" w:ascii="仿宋" w:hAnsi="仿宋" w:eastAsia="仿宋"/>
          <w:color w:val="000000"/>
          <w:sz w:val="32"/>
          <w:szCs w:val="32"/>
        </w:rPr>
        <w:t>一般公共服务（类）政府办公厅（室）及相关机构事务（款）一般行政管理事务（项）：指综合业务、预决算编审等未单独设置项级科目的专门性财政管理工作的项目支出。</w:t>
      </w:r>
    </w:p>
    <w:p>
      <w:pPr>
        <w:pageBreakBefore w:val="0"/>
        <w:kinsoku/>
        <w:wordWrap/>
        <w:overflowPunct/>
        <w:topLinePunct w:val="0"/>
        <w:bidi w:val="0"/>
        <w:spacing w:line="578"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lang w:val="en-US" w:eastAsia="zh-CN"/>
        </w:rPr>
        <w:t>4</w:t>
      </w:r>
      <w:r>
        <w:rPr>
          <w:rFonts w:ascii="仿宋" w:hAnsi="仿宋" w:eastAsia="仿宋"/>
          <w:color w:val="000000"/>
          <w:sz w:val="32"/>
          <w:szCs w:val="32"/>
        </w:rPr>
        <w:t>.</w:t>
      </w:r>
      <w:r>
        <w:rPr>
          <w:rFonts w:hint="eastAsia" w:ascii="仿宋" w:hAnsi="仿宋" w:eastAsia="仿宋"/>
          <w:color w:val="000000"/>
          <w:sz w:val="32"/>
          <w:szCs w:val="32"/>
        </w:rPr>
        <w:t>一般公共服务（类）政府办公厅（室）及相关机构事务（款）事业运行（项）：用于保障机构正常运行、开展日常工作的基本支出。</w:t>
      </w:r>
    </w:p>
    <w:p>
      <w:pPr>
        <w:pageBreakBefore w:val="0"/>
        <w:kinsoku/>
        <w:wordWrap/>
        <w:overflowPunct/>
        <w:topLinePunct w:val="0"/>
        <w:bidi w:val="0"/>
        <w:spacing w:line="578"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lang w:val="en-US" w:eastAsia="zh-CN"/>
        </w:rPr>
        <w:t>5</w:t>
      </w:r>
      <w:r>
        <w:rPr>
          <w:rFonts w:ascii="仿宋" w:hAnsi="仿宋" w:eastAsia="仿宋"/>
          <w:color w:val="000000"/>
          <w:sz w:val="32"/>
          <w:szCs w:val="32"/>
        </w:rPr>
        <w:t>.</w:t>
      </w:r>
      <w:r>
        <w:rPr>
          <w:rFonts w:hint="eastAsia" w:ascii="仿宋" w:hAnsi="仿宋" w:eastAsia="仿宋"/>
          <w:color w:val="000000"/>
          <w:sz w:val="32"/>
          <w:szCs w:val="32"/>
        </w:rPr>
        <w:t>一般公共服务（类）政府办公厅（室）及相关机构事务（款）其他政府办公厅（室）及相关事务支出（项）：用于保障专项支出等。</w:t>
      </w:r>
    </w:p>
    <w:p>
      <w:pPr>
        <w:pageBreakBefore w:val="0"/>
        <w:kinsoku/>
        <w:wordWrap/>
        <w:overflowPunct/>
        <w:topLinePunct w:val="0"/>
        <w:bidi w:val="0"/>
        <w:spacing w:line="578"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.社会保障和就业（类）行政事业单位离退休（款）事业单位离退休（项）：单位的离退休人员的支出。</w:t>
      </w:r>
    </w:p>
    <w:p>
      <w:pPr>
        <w:pageBreakBefore w:val="0"/>
        <w:kinsoku/>
        <w:wordWrap/>
        <w:overflowPunct/>
        <w:topLinePunct w:val="0"/>
        <w:bidi w:val="0"/>
        <w:spacing w:line="578"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.社会保障和就业（类）行政事业单位离退休（款）机关事业单位基本养老保险缴费支出（项）：指单位实施养老保险制度由单位缴纳的养老保险费的支出。</w:t>
      </w:r>
    </w:p>
    <w:p>
      <w:pPr>
        <w:pageBreakBefore w:val="0"/>
        <w:kinsoku/>
        <w:wordWrap/>
        <w:overflowPunct/>
        <w:topLinePunct w:val="0"/>
        <w:bidi w:val="0"/>
        <w:spacing w:line="578"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.社会保障和就业（类）行政事业单位离退休（款）机关事业单位职业年金缴费支出（项）：指部门实施养老保险制度由单位缴纳的职业年金的支出。</w:t>
      </w:r>
    </w:p>
    <w:p>
      <w:pPr>
        <w:pageBreakBefore w:val="0"/>
        <w:kinsoku/>
        <w:wordWrap/>
        <w:overflowPunct/>
        <w:topLinePunct w:val="0"/>
        <w:bidi w:val="0"/>
        <w:spacing w:line="578"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.医疗卫生与计划生育（类）行政事业单位医疗（款）事业单位医疗（项）：指事业单位用于缴纳单位基本医疗保险支出。</w:t>
      </w:r>
    </w:p>
    <w:p>
      <w:pPr>
        <w:pageBreakBefore w:val="0"/>
        <w:kinsoku/>
        <w:wordWrap/>
        <w:overflowPunct/>
        <w:topLinePunct w:val="0"/>
        <w:bidi w:val="0"/>
        <w:spacing w:line="578"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.医疗卫生与计划生育（类）行政事业单位医疗（款）公务员医疗补助（项）：单位用于中缴纳公务员医疗补助支出。</w:t>
      </w:r>
    </w:p>
    <w:p>
      <w:pPr>
        <w:pageBreakBefore w:val="0"/>
        <w:kinsoku/>
        <w:wordWrap/>
        <w:overflowPunct/>
        <w:topLinePunct w:val="0"/>
        <w:bidi w:val="0"/>
        <w:spacing w:line="578"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1</w:t>
      </w:r>
      <w:r>
        <w:rPr>
          <w:rFonts w:ascii="仿宋" w:hAnsi="仿宋" w:eastAsia="仿宋"/>
          <w:color w:val="000000"/>
          <w:sz w:val="32"/>
          <w:szCs w:val="32"/>
        </w:rPr>
        <w:t>.</w:t>
      </w:r>
      <w:r>
        <w:rPr>
          <w:rFonts w:hint="eastAsia" w:ascii="仿宋" w:hAnsi="仿宋" w:eastAsia="仿宋"/>
          <w:color w:val="000000"/>
          <w:sz w:val="32"/>
          <w:szCs w:val="32"/>
        </w:rPr>
        <w:t>住房保障（类）住房改革支出（款）住房公积金（项）：反映行政事业单位按规定为职工缴纳的住房公积金。。</w:t>
      </w:r>
    </w:p>
    <w:p>
      <w:pPr>
        <w:pageBreakBefore w:val="0"/>
        <w:kinsoku/>
        <w:wordWrap/>
        <w:overflowPunct/>
        <w:topLinePunct w:val="0"/>
        <w:bidi w:val="0"/>
        <w:spacing w:line="578"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2</w:t>
      </w:r>
      <w:r>
        <w:rPr>
          <w:rFonts w:ascii="仿宋" w:hAnsi="仿宋" w:eastAsia="仿宋"/>
          <w:color w:val="000000"/>
          <w:sz w:val="32"/>
          <w:szCs w:val="32"/>
        </w:rPr>
        <w:t>.</w:t>
      </w:r>
      <w:r>
        <w:rPr>
          <w:rFonts w:hint="eastAsia" w:ascii="仿宋" w:hAnsi="仿宋" w:eastAsia="仿宋"/>
          <w:color w:val="000000"/>
          <w:sz w:val="32"/>
          <w:szCs w:val="32"/>
        </w:rPr>
        <w:t>基本支出：指为保障机构正常运转、完成日常工作任务发生的人员支出和公用支出。</w:t>
      </w:r>
    </w:p>
    <w:p>
      <w:pPr>
        <w:pageBreakBefore w:val="0"/>
        <w:kinsoku/>
        <w:wordWrap/>
        <w:overflowPunct/>
        <w:topLinePunct w:val="0"/>
        <w:bidi w:val="0"/>
        <w:spacing w:line="578"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.项目支出：指在基本支出之外为完成特定行政任务和事发展目标所发生的支出。</w:t>
      </w:r>
      <w:r>
        <w:rPr>
          <w:rFonts w:ascii="仿宋" w:hAnsi="仿宋" w:eastAsia="仿宋"/>
          <w:color w:val="000000"/>
          <w:sz w:val="32"/>
          <w:szCs w:val="32"/>
        </w:rPr>
        <w:t xml:space="preserve"> </w:t>
      </w:r>
    </w:p>
    <w:p>
      <w:pPr>
        <w:pStyle w:val="30"/>
        <w:pageBreakBefore w:val="0"/>
        <w:kinsoku/>
        <w:wordWrap/>
        <w:overflowPunct/>
        <w:topLinePunct w:val="0"/>
        <w:bidi w:val="0"/>
        <w:spacing w:line="578" w:lineRule="exact"/>
        <w:ind w:firstLine="640" w:firstLineChars="200"/>
        <w:textAlignment w:val="auto"/>
        <w:rPr>
          <w:rFonts w:hAnsi="仿宋"/>
          <w:sz w:val="32"/>
          <w:szCs w:val="32"/>
        </w:rPr>
      </w:pPr>
      <w:r>
        <w:rPr>
          <w:rFonts w:hint="eastAsia" w:hAnsi="仿宋"/>
          <w:sz w:val="32"/>
          <w:szCs w:val="32"/>
          <w:lang w:val="en-US" w:eastAsia="zh-CN"/>
        </w:rPr>
        <w:t>14</w:t>
      </w:r>
      <w:r>
        <w:rPr>
          <w:rFonts w:hAnsi="仿宋"/>
          <w:sz w:val="32"/>
          <w:szCs w:val="32"/>
        </w:rPr>
        <w:t>.</w:t>
      </w:r>
      <w:r>
        <w:rPr>
          <w:rFonts w:hint="eastAsia" w:hAnsi="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kinsoku/>
        <w:wordWrap/>
        <w:overflowPunct/>
        <w:topLinePunct w:val="0"/>
        <w:bidi w:val="0"/>
        <w:spacing w:line="578" w:lineRule="exact"/>
        <w:ind w:firstLine="883" w:firstLineChars="200"/>
        <w:textAlignment w:val="auto"/>
        <w:rPr>
          <w:rFonts w:hint="eastAsia" w:ascii="仿宋" w:hAnsi="仿宋" w:eastAsia="仿宋"/>
          <w:color w:val="000000"/>
          <w:sz w:val="32"/>
          <w:szCs w:val="32"/>
        </w:rPr>
      </w:pPr>
      <w:r>
        <w:rPr>
          <w:rFonts w:ascii="宋体"/>
          <w:b/>
          <w:color w:val="000000"/>
          <w:sz w:val="44"/>
          <w:szCs w:val="44"/>
        </w:rPr>
        <w:br w:type="page"/>
      </w:r>
    </w:p>
    <w:p>
      <w:pPr>
        <w:pStyle w:val="3"/>
        <w:pageBreakBefore w:val="0"/>
        <w:kinsoku/>
        <w:wordWrap/>
        <w:overflowPunct/>
        <w:topLinePunct w:val="0"/>
        <w:bidi w:val="0"/>
        <w:spacing w:before="0" w:after="0" w:line="578" w:lineRule="exact"/>
        <w:contextualSpacing/>
        <w:jc w:val="center"/>
        <w:textAlignment w:val="auto"/>
        <w:rPr>
          <w:rStyle w:val="20"/>
          <w:rFonts w:eastAsia="黑体"/>
          <w:b/>
          <w:bCs w:val="0"/>
          <w:color w:val="FF0000"/>
        </w:rPr>
      </w:pPr>
      <w:bookmarkStart w:id="82" w:name="_Toc51763427"/>
      <w:bookmarkStart w:id="83" w:name="_Toc6351"/>
      <w:bookmarkStart w:id="84" w:name="_Toc15396614"/>
      <w:r>
        <w:rPr>
          <w:rFonts w:ascii="黑体" w:hAnsi="黑体" w:eastAsia="黑体"/>
          <w:b w:val="0"/>
          <w:bCs w:val="0"/>
        </w:rPr>
        <w:t>第四部分</w:t>
      </w:r>
      <w:r>
        <w:rPr>
          <w:rFonts w:hint="eastAsia" w:ascii="黑体" w:hAnsi="黑体" w:eastAsia="黑体"/>
          <w:b w:val="0"/>
          <w:bCs w:val="0"/>
        </w:rPr>
        <w:t xml:space="preserve"> </w:t>
      </w:r>
      <w:r>
        <w:rPr>
          <w:rFonts w:ascii="黑体" w:hAnsi="黑体" w:eastAsia="黑体"/>
          <w:b w:val="0"/>
          <w:bCs w:val="0"/>
        </w:rPr>
        <w:t>附件</w:t>
      </w:r>
      <w:bookmarkEnd w:id="82"/>
      <w:bookmarkEnd w:id="83"/>
      <w:bookmarkEnd w:id="84"/>
    </w:p>
    <w:p>
      <w:pPr>
        <w:pageBreakBefore w:val="0"/>
        <w:kinsoku/>
        <w:wordWrap/>
        <w:overflowPunct/>
        <w:topLinePunct w:val="0"/>
        <w:bidi w:val="0"/>
        <w:spacing w:line="578" w:lineRule="exact"/>
        <w:jc w:val="left"/>
        <w:textAlignment w:val="auto"/>
        <w:outlineLvl w:val="0"/>
        <w:rPr>
          <w:rFonts w:ascii="黑体" w:hAnsi="黑体" w:eastAsia="黑体" w:cs="黑体"/>
          <w:sz w:val="32"/>
          <w:szCs w:val="32"/>
        </w:rPr>
      </w:pPr>
      <w:bookmarkStart w:id="85" w:name="_Toc18757"/>
      <w:r>
        <w:rPr>
          <w:rFonts w:hint="eastAsia" w:ascii="黑体" w:hAnsi="黑体" w:eastAsia="黑体" w:cs="黑体"/>
          <w:sz w:val="32"/>
          <w:szCs w:val="32"/>
        </w:rPr>
        <w:t>附件</w:t>
      </w:r>
      <w:r>
        <w:rPr>
          <w:rFonts w:ascii="黑体" w:hAnsi="黑体" w:eastAsia="黑体" w:cs="黑体"/>
          <w:sz w:val="32"/>
          <w:szCs w:val="32"/>
        </w:rPr>
        <w:t>1</w:t>
      </w:r>
      <w:bookmarkEnd w:id="85"/>
    </w:p>
    <w:p>
      <w:pPr>
        <w:pStyle w:val="6"/>
        <w:pageBreakBefore w:val="0"/>
        <w:kinsoku/>
        <w:wordWrap/>
        <w:overflowPunct/>
        <w:topLinePunct w:val="0"/>
        <w:bidi w:val="0"/>
        <w:spacing w:line="578" w:lineRule="exact"/>
        <w:ind w:left="0" w:leftChars="0" w:firstLine="0" w:firstLineChars="0"/>
        <w:textAlignment w:val="auto"/>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2209" w:firstLineChars="500"/>
        <w:textAlignment w:val="auto"/>
        <w:rPr>
          <w:rFonts w:hint="eastAsia" w:ascii="方正小标宋简体" w:hAnsi="方正小标宋简体" w:eastAsia="方正小标宋简体" w:cs="方正小标宋简体"/>
          <w:b/>
          <w:bCs/>
          <w:color w:val="000000"/>
          <w:sz w:val="44"/>
          <w:szCs w:val="44"/>
          <w:shd w:val="clear" w:color="auto" w:fill="FFFFFF"/>
        </w:rPr>
      </w:pPr>
      <w:r>
        <w:rPr>
          <w:rFonts w:hint="eastAsia" w:ascii="方正小标宋简体" w:hAnsi="方正小标宋简体" w:eastAsia="方正小标宋简体" w:cs="方正小标宋简体"/>
          <w:b/>
          <w:bCs/>
          <w:color w:val="000000"/>
          <w:sz w:val="44"/>
          <w:szCs w:val="44"/>
          <w:shd w:val="clear" w:color="auto" w:fill="FFFFFF"/>
        </w:rPr>
        <w:t>泸县公共资源交易中心</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bCs/>
          <w:color w:val="000000"/>
          <w:sz w:val="44"/>
          <w:szCs w:val="44"/>
          <w:shd w:val="clear" w:color="auto" w:fill="FFFFFF"/>
        </w:rPr>
      </w:pPr>
      <w:r>
        <w:rPr>
          <w:rFonts w:hint="eastAsia" w:ascii="方正小标宋简体" w:hAnsi="方正小标宋简体" w:eastAsia="方正小标宋简体" w:cs="方正小标宋简体"/>
          <w:b/>
          <w:bCs/>
          <w:color w:val="000000"/>
          <w:sz w:val="44"/>
          <w:szCs w:val="44"/>
          <w:shd w:val="clear" w:color="auto" w:fill="FFFFFF"/>
        </w:rPr>
        <w:t>202</w:t>
      </w:r>
      <w:r>
        <w:rPr>
          <w:rFonts w:hint="eastAsia" w:ascii="方正小标宋简体" w:hAnsi="方正小标宋简体" w:eastAsia="方正小标宋简体" w:cs="方正小标宋简体"/>
          <w:b/>
          <w:bCs/>
          <w:color w:val="000000"/>
          <w:sz w:val="44"/>
          <w:szCs w:val="44"/>
          <w:shd w:val="clear" w:color="auto" w:fill="FFFFFF"/>
          <w:lang w:val="en-US" w:eastAsia="zh-CN"/>
        </w:rPr>
        <w:t>1</w:t>
      </w:r>
      <w:r>
        <w:rPr>
          <w:rFonts w:hint="eastAsia" w:ascii="方正小标宋简体" w:hAnsi="方正小标宋简体" w:eastAsia="方正小标宋简体" w:cs="方正小标宋简体"/>
          <w:b/>
          <w:bCs/>
          <w:color w:val="000000"/>
          <w:sz w:val="44"/>
          <w:szCs w:val="44"/>
          <w:shd w:val="clear" w:color="auto" w:fill="FFFFFF"/>
        </w:rPr>
        <w:t>年部门</w:t>
      </w:r>
      <w:r>
        <w:rPr>
          <w:rFonts w:hint="eastAsia" w:ascii="方正小标宋简体" w:hAnsi="方正小标宋简体" w:eastAsia="方正小标宋简体" w:cs="方正小标宋简体"/>
          <w:b/>
          <w:bCs/>
          <w:color w:val="000000"/>
          <w:sz w:val="44"/>
          <w:szCs w:val="44"/>
          <w:shd w:val="clear" w:color="auto" w:fill="FFFFFF"/>
          <w:lang w:eastAsia="zh-CN"/>
        </w:rPr>
        <w:t>整体</w:t>
      </w:r>
      <w:r>
        <w:rPr>
          <w:rFonts w:hint="eastAsia" w:ascii="方正小标宋简体" w:hAnsi="方正小标宋简体" w:eastAsia="方正小标宋简体" w:cs="方正小标宋简体"/>
          <w:b/>
          <w:bCs/>
          <w:color w:val="000000"/>
          <w:sz w:val="44"/>
          <w:szCs w:val="44"/>
          <w:shd w:val="clear" w:color="auto" w:fill="FFFFFF"/>
        </w:rPr>
        <w:t>支出绩效</w:t>
      </w:r>
      <w:r>
        <w:rPr>
          <w:rFonts w:hint="eastAsia" w:ascii="方正小标宋简体" w:hAnsi="方正小标宋简体" w:eastAsia="方正小标宋简体" w:cs="方正小标宋简体"/>
          <w:b/>
          <w:bCs/>
          <w:color w:val="000000"/>
          <w:sz w:val="44"/>
          <w:szCs w:val="44"/>
          <w:shd w:val="clear" w:color="auto" w:fill="FFFFFF"/>
          <w:lang w:eastAsia="zh-CN"/>
        </w:rPr>
        <w:t>评价</w:t>
      </w:r>
      <w:r>
        <w:rPr>
          <w:rFonts w:hint="eastAsia" w:ascii="方正小标宋简体" w:hAnsi="方正小标宋简体" w:eastAsia="方正小标宋简体" w:cs="方正小标宋简体"/>
          <w:b/>
          <w:bCs/>
          <w:color w:val="000000"/>
          <w:sz w:val="44"/>
          <w:szCs w:val="44"/>
          <w:shd w:val="clear" w:color="auto" w:fill="FFFFFF"/>
        </w:rPr>
        <w:t>报告</w:t>
      </w:r>
    </w:p>
    <w:p>
      <w:pPr>
        <w:pageBreakBefore w:val="0"/>
        <w:kinsoku/>
        <w:wordWrap/>
        <w:overflowPunct/>
        <w:topLinePunct w:val="0"/>
        <w:bidi w:val="0"/>
        <w:spacing w:line="578" w:lineRule="exact"/>
        <w:jc w:val="center"/>
        <w:textAlignment w:val="auto"/>
        <w:rPr>
          <w:rFonts w:ascii="宋体" w:cs="宋体"/>
          <w:b/>
          <w:bCs/>
          <w:color w:val="000000"/>
          <w:sz w:val="45"/>
          <w:szCs w:val="45"/>
          <w:shd w:val="clear" w:color="auto" w:fill="FFFFFF"/>
        </w:rPr>
      </w:pPr>
    </w:p>
    <w:p>
      <w:pPr>
        <w:pStyle w:val="30"/>
        <w:pageBreakBefore w:val="0"/>
        <w:kinsoku/>
        <w:wordWrap/>
        <w:overflowPunct/>
        <w:topLinePunct w:val="0"/>
        <w:bidi w:val="0"/>
        <w:spacing w:line="578" w:lineRule="exact"/>
        <w:ind w:firstLine="640" w:firstLineChars="200"/>
        <w:contextualSpacing/>
        <w:jc w:val="both"/>
        <w:textAlignment w:val="auto"/>
        <w:rPr>
          <w:rFonts w:hint="eastAsia" w:ascii="Times New Roman" w:hAnsi="Times New Roman" w:eastAsia="仿宋_GB2312" w:cs="Times New Roman"/>
          <w:color w:val="auto"/>
          <w:sz w:val="32"/>
          <w:szCs w:val="32"/>
        </w:rPr>
      </w:pPr>
      <w:r>
        <w:rPr>
          <w:rStyle w:val="18"/>
          <w:rFonts w:hint="eastAsia" w:ascii="黑体" w:hAnsi="黑体" w:eastAsia="黑体" w:cs="黑体"/>
          <w:b w:val="0"/>
          <w:bCs w:val="0"/>
          <w:i w:val="0"/>
          <w:color w:val="000000"/>
          <w:kern w:val="0"/>
          <w:sz w:val="32"/>
          <w:szCs w:val="32"/>
          <w:shd w:val="clear" w:color="auto" w:fill="FFFFFF"/>
          <w:lang w:val="en-US" w:eastAsia="zh-CN"/>
        </w:rPr>
        <w:t>一、部门（单位）概况</w:t>
      </w:r>
      <w:r>
        <w:rPr>
          <w:rStyle w:val="18"/>
          <w:rFonts w:hint="eastAsia" w:ascii="黑体" w:hAnsi="黑体" w:eastAsia="黑体" w:cs="黑体"/>
          <w:b w:val="0"/>
          <w:bCs w:val="0"/>
          <w:i w:val="0"/>
          <w:color w:val="000000"/>
          <w:kern w:val="0"/>
          <w:sz w:val="32"/>
          <w:szCs w:val="32"/>
          <w:shd w:val="clear" w:color="auto" w:fill="FFFFFF"/>
          <w:lang w:val="en-US" w:eastAsia="zh-CN"/>
        </w:rPr>
        <w:br w:type="textWrapping"/>
      </w:r>
      <w:r>
        <w:rPr>
          <w:rStyle w:val="18"/>
          <w:rFonts w:hint="eastAsia" w:ascii="仿宋" w:hAnsi="仿宋" w:eastAsia="仿宋" w:cs="仿宋"/>
          <w:i w:val="0"/>
          <w:color w:val="000000"/>
          <w:kern w:val="0"/>
          <w:sz w:val="32"/>
          <w:szCs w:val="32"/>
          <w:shd w:val="clear" w:color="auto" w:fill="FFFFFF"/>
        </w:rPr>
        <w:t>　</w:t>
      </w:r>
      <w:r>
        <w:rPr>
          <w:rStyle w:val="18"/>
          <w:rFonts w:hint="eastAsia" w:ascii="楷体" w:hAnsi="楷体" w:eastAsia="楷体" w:cs="楷体"/>
          <w:i w:val="0"/>
          <w:color w:val="000000"/>
          <w:kern w:val="0"/>
          <w:sz w:val="32"/>
          <w:szCs w:val="32"/>
          <w:shd w:val="clear" w:color="auto" w:fill="FFFFFF"/>
        </w:rPr>
        <w:t xml:space="preserve"> </w:t>
      </w:r>
      <w:r>
        <w:rPr>
          <w:rFonts w:hint="eastAsia" w:ascii="Times New Roman" w:hAnsi="Times New Roman" w:eastAsia="楷体_GB2312" w:cs="Times New Roman"/>
          <w:kern w:val="0"/>
          <w:sz w:val="32"/>
          <w:szCs w:val="32"/>
          <w:shd w:val="clear" w:color="auto" w:fill="FFFFFF"/>
          <w:lang w:val="en-US" w:eastAsia="zh-CN" w:bidi="ar-SA"/>
        </w:rPr>
        <w:t>（一）机构组成</w:t>
      </w:r>
    </w:p>
    <w:p>
      <w:pPr>
        <w:pageBreakBefore w:val="0"/>
        <w:kinsoku/>
        <w:wordWrap/>
        <w:overflowPunct/>
        <w:topLinePunct w:val="0"/>
        <w:bidi w:val="0"/>
        <w:spacing w:line="578"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泸县公共资源交易中心成立于2011年8月，为一级预算单位，属全额拨款事业单位，无下属二级预算单位，内设办公室、交易受理股、交易组织股、交易综合股。</w:t>
      </w:r>
    </w:p>
    <w:p>
      <w:pPr>
        <w:pageBreakBefore w:val="0"/>
        <w:kinsoku/>
        <w:wordWrap/>
        <w:overflowPunct/>
        <w:topLinePunct w:val="0"/>
        <w:bidi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en-US" w:eastAsia="zh-CN" w:bidi="ar-SA"/>
        </w:rPr>
      </w:pPr>
      <w:r>
        <w:rPr>
          <w:rFonts w:hint="eastAsia" w:ascii="仿宋" w:hAnsi="仿宋" w:eastAsia="仿宋" w:cs="仿宋"/>
          <w:color w:val="000000"/>
          <w:kern w:val="0"/>
          <w:sz w:val="32"/>
          <w:szCs w:val="32"/>
          <w:lang w:val="en-US" w:eastAsia="zh-CN" w:bidi="ar-SA"/>
        </w:rPr>
        <w:t>2017年11月，中共泸县县委机构编制委员会设立泸县政府采购中心，与泸县公共资源交易中心实行一个机构、两块牌子的管理方式。</w:t>
      </w:r>
      <w:r>
        <w:rPr>
          <w:rFonts w:hint="eastAsia" w:ascii="仿宋" w:hAnsi="仿宋" w:eastAsia="仿宋" w:cs="仿宋"/>
          <w:color w:val="000000"/>
          <w:kern w:val="0"/>
          <w:sz w:val="32"/>
          <w:szCs w:val="32"/>
          <w:lang w:val="en-US" w:eastAsia="zh-CN" w:bidi="ar-SA"/>
        </w:rPr>
        <w:br w:type="textWrapping"/>
      </w:r>
      <w:r>
        <w:rPr>
          <w:rStyle w:val="18"/>
          <w:rFonts w:hint="eastAsia" w:ascii="楷体_GB2312" w:hAnsi="楷体_GB2312" w:eastAsia="楷体_GB2312" w:cs="楷体_GB2312"/>
          <w:i w:val="0"/>
          <w:color w:val="000000"/>
          <w:kern w:val="0"/>
          <w:sz w:val="32"/>
          <w:szCs w:val="32"/>
          <w:shd w:val="clear" w:color="auto" w:fill="FFFFFF"/>
          <w:lang w:val="en-US" w:eastAsia="zh-CN" w:bidi="ar-SA"/>
        </w:rPr>
        <w:t>　 （二）机构职能</w:t>
      </w:r>
    </w:p>
    <w:p>
      <w:pPr>
        <w:pageBreakBefore w:val="0"/>
        <w:kinsoku/>
        <w:wordWrap/>
        <w:overflowPunct/>
        <w:topLinePunct w:val="0"/>
        <w:bidi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en-US" w:eastAsia="zh-CN" w:bidi="ar-SA"/>
        </w:rPr>
      </w:pPr>
      <w:r>
        <w:rPr>
          <w:rStyle w:val="18"/>
          <w:rFonts w:hint="eastAsia" w:ascii="仿宋" w:hAnsi="仿宋" w:eastAsia="仿宋" w:cs="仿宋"/>
          <w:i w:val="0"/>
          <w:color w:val="000000"/>
          <w:kern w:val="0"/>
          <w:sz w:val="32"/>
          <w:szCs w:val="32"/>
          <w:shd w:val="clear" w:color="auto" w:fill="FFFFFF"/>
        </w:rPr>
        <w:t>在全县公共资源集中进行市场化配置服务，集中履行县政府授权的全县公共资源交易职能。　　</w:t>
      </w:r>
      <w:r>
        <w:rPr>
          <w:rStyle w:val="18"/>
          <w:rFonts w:hint="eastAsia" w:ascii="仿宋" w:hAnsi="仿宋" w:eastAsia="仿宋" w:cs="仿宋"/>
          <w:i w:val="0"/>
          <w:color w:val="000000"/>
          <w:kern w:val="0"/>
          <w:sz w:val="32"/>
          <w:szCs w:val="32"/>
          <w:shd w:val="clear" w:color="auto" w:fill="FFFFFF"/>
        </w:rPr>
        <w:br w:type="textWrapping"/>
      </w:r>
      <w:r>
        <w:rPr>
          <w:rStyle w:val="18"/>
          <w:rFonts w:hint="eastAsia" w:ascii="楷体_GB2312" w:hAnsi="楷体_GB2312" w:eastAsia="楷体_GB2312" w:cs="楷体_GB2312"/>
          <w:i w:val="0"/>
          <w:color w:val="000000"/>
          <w:kern w:val="0"/>
          <w:sz w:val="32"/>
          <w:szCs w:val="32"/>
          <w:shd w:val="clear" w:color="auto" w:fill="FFFFFF"/>
          <w:lang w:val="en-US" w:eastAsia="zh-CN" w:bidi="ar-SA"/>
        </w:rPr>
        <w:t>　 （三）人员概况</w:t>
      </w:r>
    </w:p>
    <w:p>
      <w:pPr>
        <w:pageBreakBefore w:val="0"/>
        <w:kinsoku/>
        <w:wordWrap/>
        <w:overflowPunct/>
        <w:topLinePunct w:val="0"/>
        <w:bidi w:val="0"/>
        <w:spacing w:line="578" w:lineRule="exact"/>
        <w:ind w:firstLine="640" w:firstLineChars="200"/>
        <w:textAlignment w:val="auto"/>
        <w:rPr>
          <w:rStyle w:val="18"/>
          <w:rFonts w:hint="eastAsia" w:ascii="仿宋" w:hAnsi="仿宋" w:eastAsia="仿宋" w:cs="仿宋"/>
          <w:i w:val="0"/>
          <w:color w:val="000000"/>
          <w:kern w:val="0"/>
          <w:sz w:val="32"/>
          <w:szCs w:val="32"/>
          <w:shd w:val="clear" w:color="auto" w:fill="FFFFFF"/>
        </w:rPr>
      </w:pPr>
      <w:r>
        <w:rPr>
          <w:rStyle w:val="18"/>
          <w:rFonts w:hint="eastAsia" w:ascii="仿宋" w:hAnsi="仿宋" w:eastAsia="仿宋" w:cs="仿宋"/>
          <w:i w:val="0"/>
          <w:color w:val="000000"/>
          <w:kern w:val="0"/>
          <w:sz w:val="32"/>
          <w:szCs w:val="32"/>
          <w:shd w:val="clear" w:color="auto" w:fill="FFFFFF"/>
        </w:rPr>
        <w:t>泸县公共资源交易中心核定人员编制19名。202</w:t>
      </w:r>
      <w:r>
        <w:rPr>
          <w:rStyle w:val="18"/>
          <w:rFonts w:hint="eastAsia" w:ascii="仿宋" w:hAnsi="仿宋" w:eastAsia="仿宋" w:cs="仿宋"/>
          <w:i w:val="0"/>
          <w:color w:val="000000"/>
          <w:kern w:val="0"/>
          <w:sz w:val="32"/>
          <w:szCs w:val="32"/>
          <w:shd w:val="clear" w:color="auto" w:fill="FFFFFF"/>
          <w:lang w:val="en-US" w:eastAsia="zh-CN"/>
        </w:rPr>
        <w:t>1</w:t>
      </w:r>
      <w:r>
        <w:rPr>
          <w:rStyle w:val="18"/>
          <w:rFonts w:hint="eastAsia" w:ascii="仿宋" w:hAnsi="仿宋" w:eastAsia="仿宋" w:cs="仿宋"/>
          <w:i w:val="0"/>
          <w:color w:val="000000"/>
          <w:kern w:val="0"/>
          <w:sz w:val="32"/>
          <w:szCs w:val="32"/>
          <w:shd w:val="clear" w:color="auto" w:fill="FFFFFF"/>
        </w:rPr>
        <w:t>年末实有事业编制人员18人。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en-US" w:eastAsia="zh-CN" w:bidi="ar-SA"/>
        </w:rPr>
      </w:pPr>
      <w:r>
        <w:rPr>
          <w:rStyle w:val="18"/>
          <w:rFonts w:hint="eastAsia" w:ascii="黑体" w:hAnsi="黑体" w:eastAsia="黑体" w:cs="黑体"/>
          <w:b w:val="0"/>
          <w:bCs w:val="0"/>
          <w:i w:val="0"/>
          <w:color w:val="000000"/>
          <w:kern w:val="0"/>
          <w:sz w:val="32"/>
          <w:szCs w:val="32"/>
          <w:shd w:val="clear" w:color="auto" w:fill="FFFFFF"/>
          <w:lang w:eastAsia="zh-CN"/>
        </w:rPr>
        <w:t>二、部门财政资金收支情况</w:t>
      </w:r>
      <w:r>
        <w:rPr>
          <w:rStyle w:val="18"/>
          <w:rFonts w:hint="eastAsia" w:ascii="黑体" w:hAnsi="黑体" w:eastAsia="黑体" w:cs="黑体"/>
          <w:b w:val="0"/>
          <w:bCs w:val="0"/>
          <w:i w:val="0"/>
          <w:color w:val="000000"/>
          <w:kern w:val="0"/>
          <w:sz w:val="32"/>
          <w:szCs w:val="32"/>
          <w:shd w:val="clear" w:color="auto" w:fill="FFFFFF"/>
          <w:lang w:eastAsia="zh-CN"/>
        </w:rPr>
        <w:br w:type="textWrapping"/>
      </w:r>
      <w:r>
        <w:rPr>
          <w:rStyle w:val="18"/>
          <w:rFonts w:hint="eastAsia" w:ascii="楷体_GB2312" w:hAnsi="楷体_GB2312" w:eastAsia="楷体_GB2312" w:cs="楷体_GB2312"/>
          <w:i w:val="0"/>
          <w:color w:val="000000"/>
          <w:kern w:val="0"/>
          <w:sz w:val="32"/>
          <w:szCs w:val="32"/>
          <w:shd w:val="clear" w:color="auto" w:fill="FFFFFF"/>
          <w:lang w:val="en-US" w:eastAsia="zh-CN" w:bidi="ar-SA"/>
        </w:rPr>
        <w:t>　 （一）部门财政资金收入情况</w:t>
      </w:r>
    </w:p>
    <w:p>
      <w:pPr>
        <w:pageBreakBefore w:val="0"/>
        <w:kinsoku/>
        <w:wordWrap/>
        <w:overflowPunct/>
        <w:topLinePunct w:val="0"/>
        <w:bidi w:val="0"/>
        <w:spacing w:line="578" w:lineRule="exact"/>
        <w:ind w:firstLine="640"/>
        <w:textAlignment w:val="auto"/>
        <w:rPr>
          <w:rStyle w:val="18"/>
          <w:rFonts w:hint="eastAsia" w:ascii="仿宋" w:hAnsi="仿宋" w:eastAsia="仿宋" w:cs="仿宋"/>
          <w:i w:val="0"/>
          <w:color w:val="000000"/>
          <w:kern w:val="0"/>
          <w:sz w:val="32"/>
          <w:szCs w:val="32"/>
          <w:shd w:val="clear" w:color="auto" w:fill="FFFFFF"/>
        </w:rPr>
      </w:pPr>
      <w:r>
        <w:rPr>
          <w:rFonts w:hint="eastAsia" w:eastAsia="仿宋_GB2312"/>
          <w:color w:val="323232"/>
          <w:kern w:val="0"/>
          <w:sz w:val="32"/>
          <w:szCs w:val="32"/>
          <w:lang w:eastAsia="zh-CN"/>
        </w:rPr>
        <w:t>202</w:t>
      </w:r>
      <w:r>
        <w:rPr>
          <w:rFonts w:hint="eastAsia" w:eastAsia="仿宋_GB2312"/>
          <w:color w:val="323232"/>
          <w:kern w:val="0"/>
          <w:sz w:val="32"/>
          <w:szCs w:val="32"/>
          <w:lang w:val="en-US" w:eastAsia="zh-CN"/>
        </w:rPr>
        <w:t>1</w:t>
      </w:r>
      <w:r>
        <w:rPr>
          <w:rFonts w:hint="eastAsia" w:eastAsia="仿宋_GB2312"/>
          <w:color w:val="323232"/>
          <w:kern w:val="0"/>
          <w:sz w:val="32"/>
          <w:szCs w:val="32"/>
          <w:lang w:eastAsia="zh-CN"/>
        </w:rPr>
        <w:t>年本年收入合计</w:t>
      </w:r>
      <w:r>
        <w:rPr>
          <w:rFonts w:hint="eastAsia" w:eastAsia="仿宋_GB2312"/>
          <w:color w:val="323232"/>
          <w:kern w:val="0"/>
          <w:sz w:val="32"/>
          <w:szCs w:val="32"/>
          <w:lang w:val="en-US" w:eastAsia="zh-CN"/>
        </w:rPr>
        <w:t>434.53</w:t>
      </w:r>
      <w:r>
        <w:rPr>
          <w:rFonts w:hint="eastAsia" w:eastAsia="仿宋_GB2312"/>
          <w:color w:val="323232"/>
          <w:kern w:val="0"/>
          <w:sz w:val="32"/>
          <w:szCs w:val="32"/>
          <w:lang w:eastAsia="zh-CN"/>
        </w:rPr>
        <w:t>万元，其中：一般公共预算财政拨款收入</w:t>
      </w:r>
      <w:r>
        <w:rPr>
          <w:rFonts w:hint="eastAsia" w:eastAsia="仿宋" w:cs="Times New Roman"/>
          <w:color w:val="000000"/>
          <w:sz w:val="32"/>
          <w:szCs w:val="32"/>
          <w:lang w:val="en-US" w:eastAsia="zh-CN"/>
        </w:rPr>
        <w:t>335.4</w:t>
      </w:r>
      <w:r>
        <w:rPr>
          <w:rFonts w:hint="eastAsia" w:ascii="Times New Roman" w:hAnsi="Times New Roman" w:eastAsia="仿宋" w:cs="Times New Roman"/>
          <w:color w:val="000000"/>
          <w:sz w:val="32"/>
          <w:szCs w:val="32"/>
          <w:lang w:val="en-US" w:eastAsia="zh-CN"/>
        </w:rPr>
        <w:t>万元，占</w:t>
      </w:r>
      <w:r>
        <w:rPr>
          <w:rFonts w:hint="eastAsia" w:eastAsia="仿宋" w:cs="Times New Roman"/>
          <w:color w:val="000000"/>
          <w:sz w:val="32"/>
          <w:szCs w:val="32"/>
          <w:lang w:val="en-US" w:eastAsia="zh-CN"/>
        </w:rPr>
        <w:t>77.19</w:t>
      </w:r>
      <w:r>
        <w:rPr>
          <w:rFonts w:hint="eastAsia" w:ascii="Times New Roman" w:hAnsi="Times New Roman" w:eastAsia="仿宋" w:cs="Times New Roman"/>
          <w:color w:val="000000"/>
          <w:sz w:val="32"/>
          <w:szCs w:val="32"/>
          <w:lang w:val="en-US" w:eastAsia="zh-CN"/>
        </w:rPr>
        <w:t>%</w:t>
      </w:r>
      <w:r>
        <w:rPr>
          <w:rFonts w:hint="eastAsia" w:eastAsia="仿宋_GB2312"/>
          <w:color w:val="323232"/>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en-US" w:eastAsia="zh-CN" w:bidi="ar-SA"/>
        </w:rPr>
      </w:pPr>
      <w:r>
        <w:rPr>
          <w:rStyle w:val="18"/>
          <w:rFonts w:hint="eastAsia" w:ascii="楷体_GB2312" w:hAnsi="楷体_GB2312" w:eastAsia="楷体_GB2312" w:cs="楷体_GB2312"/>
          <w:i w:val="0"/>
          <w:color w:val="000000"/>
          <w:kern w:val="0"/>
          <w:sz w:val="32"/>
          <w:szCs w:val="32"/>
          <w:shd w:val="clear" w:color="auto" w:fill="FFFFFF"/>
          <w:lang w:val="en-US" w:eastAsia="zh-CN" w:bidi="ar-SA"/>
        </w:rPr>
        <w:t>（二）部门财政资金支出情况</w:t>
      </w:r>
    </w:p>
    <w:p>
      <w:pPr>
        <w:pageBreakBefore w:val="0"/>
        <w:widowControl/>
        <w:kinsoku/>
        <w:wordWrap/>
        <w:overflowPunct/>
        <w:topLinePunct w:val="0"/>
        <w:bidi w:val="0"/>
        <w:adjustRightInd w:val="0"/>
        <w:snapToGrid w:val="0"/>
        <w:spacing w:line="578" w:lineRule="exact"/>
        <w:ind w:firstLine="640" w:firstLineChars="200"/>
        <w:contextualSpacing/>
        <w:jc w:val="left"/>
        <w:textAlignment w:val="auto"/>
        <w:rPr>
          <w:rFonts w:ascii="黑体" w:hAnsi="宋体" w:eastAsia="黑体" w:cs="宋体"/>
          <w:color w:val="000000"/>
          <w:kern w:val="0"/>
          <w:sz w:val="32"/>
          <w:szCs w:val="32"/>
          <w:shd w:val="clear" w:color="auto" w:fill="FFFFFF"/>
        </w:rPr>
      </w:pPr>
      <w:r>
        <w:rPr>
          <w:rStyle w:val="18"/>
          <w:rFonts w:hint="eastAsia" w:ascii="仿宋" w:hAnsi="仿宋" w:eastAsia="仿宋" w:cs="仿宋"/>
          <w:i w:val="0"/>
          <w:color w:val="000000"/>
          <w:kern w:val="0"/>
          <w:sz w:val="32"/>
          <w:szCs w:val="32"/>
          <w:shd w:val="clear" w:color="auto" w:fill="FFFFFF"/>
        </w:rPr>
        <w:t>202</w:t>
      </w:r>
      <w:r>
        <w:rPr>
          <w:rStyle w:val="18"/>
          <w:rFonts w:hint="eastAsia" w:ascii="仿宋" w:hAnsi="仿宋" w:eastAsia="仿宋" w:cs="仿宋"/>
          <w:i w:val="0"/>
          <w:color w:val="000000"/>
          <w:kern w:val="0"/>
          <w:sz w:val="32"/>
          <w:szCs w:val="32"/>
          <w:shd w:val="clear" w:color="auto" w:fill="FFFFFF"/>
          <w:lang w:val="en-US" w:eastAsia="zh-CN"/>
        </w:rPr>
        <w:t>1</w:t>
      </w:r>
      <w:r>
        <w:rPr>
          <w:rStyle w:val="18"/>
          <w:rFonts w:hint="eastAsia" w:ascii="仿宋" w:hAnsi="仿宋" w:eastAsia="仿宋" w:cs="仿宋"/>
          <w:i w:val="0"/>
          <w:color w:val="000000"/>
          <w:kern w:val="0"/>
          <w:sz w:val="32"/>
          <w:szCs w:val="32"/>
          <w:shd w:val="clear" w:color="auto" w:fill="FFFFFF"/>
        </w:rPr>
        <w:t>年部门决算财政资金支出总额为</w:t>
      </w:r>
      <w:r>
        <w:rPr>
          <w:rStyle w:val="18"/>
          <w:rFonts w:hint="eastAsia" w:ascii="仿宋" w:hAnsi="仿宋" w:eastAsia="仿宋" w:cs="仿宋"/>
          <w:i w:val="0"/>
          <w:color w:val="000000"/>
          <w:kern w:val="0"/>
          <w:sz w:val="32"/>
          <w:szCs w:val="32"/>
          <w:shd w:val="clear" w:color="auto" w:fill="FFFFFF"/>
          <w:lang w:val="en-US" w:eastAsia="zh-CN"/>
        </w:rPr>
        <w:t>434.53</w:t>
      </w:r>
      <w:r>
        <w:rPr>
          <w:rStyle w:val="18"/>
          <w:rFonts w:hint="eastAsia" w:ascii="仿宋" w:hAnsi="仿宋" w:eastAsia="仿宋" w:cs="仿宋"/>
          <w:i w:val="0"/>
          <w:color w:val="000000"/>
          <w:kern w:val="0"/>
          <w:sz w:val="32"/>
          <w:szCs w:val="32"/>
          <w:shd w:val="clear" w:color="auto" w:fill="FFFFFF"/>
        </w:rPr>
        <w:t>万元，其中：</w:t>
      </w:r>
      <w:r>
        <w:rPr>
          <w:rFonts w:hint="eastAsia" w:ascii="Times New Roman" w:hAnsi="Times New Roman" w:eastAsia="仿宋_GB2312" w:cs="Times New Roman"/>
          <w:color w:val="auto"/>
          <w:sz w:val="32"/>
          <w:szCs w:val="32"/>
        </w:rPr>
        <w:t>按功能分类，</w:t>
      </w:r>
      <w:r>
        <w:rPr>
          <w:rStyle w:val="18"/>
          <w:rFonts w:hint="eastAsia" w:ascii="仿宋" w:hAnsi="仿宋" w:eastAsia="仿宋" w:cs="仿宋"/>
          <w:i w:val="0"/>
          <w:color w:val="000000"/>
          <w:kern w:val="0"/>
          <w:sz w:val="32"/>
          <w:szCs w:val="32"/>
          <w:shd w:val="clear" w:color="auto" w:fill="FFFFFF"/>
        </w:rPr>
        <w:t>其他一般公共服务支出387.78万元</w:t>
      </w:r>
      <w:r>
        <w:rPr>
          <w:rStyle w:val="18"/>
          <w:rFonts w:hint="eastAsia" w:ascii="仿宋" w:hAnsi="仿宋" w:eastAsia="仿宋" w:cs="仿宋"/>
          <w:i w:val="0"/>
          <w:color w:val="000000"/>
          <w:kern w:val="0"/>
          <w:sz w:val="32"/>
          <w:szCs w:val="32"/>
          <w:shd w:val="clear" w:color="auto" w:fill="FFFFFF"/>
          <w:lang w:eastAsia="zh-CN"/>
        </w:rPr>
        <w:t>，</w:t>
      </w:r>
      <w:r>
        <w:rPr>
          <w:rStyle w:val="18"/>
          <w:rFonts w:hint="eastAsia" w:ascii="仿宋" w:hAnsi="仿宋" w:eastAsia="仿宋" w:cs="仿宋"/>
          <w:i w:val="0"/>
          <w:color w:val="000000"/>
          <w:kern w:val="0"/>
          <w:sz w:val="32"/>
          <w:szCs w:val="32"/>
          <w:shd w:val="clear" w:color="auto" w:fill="FFFFFF"/>
        </w:rPr>
        <w:t>机关事业单位基本养老保险缴费支出</w:t>
      </w:r>
      <w:r>
        <w:rPr>
          <w:rStyle w:val="18"/>
          <w:rFonts w:hint="eastAsia" w:ascii="仿宋" w:hAnsi="仿宋" w:eastAsia="仿宋" w:cs="仿宋"/>
          <w:i w:val="0"/>
          <w:color w:val="000000"/>
          <w:kern w:val="0"/>
          <w:sz w:val="32"/>
          <w:szCs w:val="32"/>
          <w:shd w:val="clear" w:color="auto" w:fill="FFFFFF"/>
          <w:lang w:val="en-US" w:eastAsia="zh-CN"/>
        </w:rPr>
        <w:t>18.61</w:t>
      </w:r>
      <w:r>
        <w:rPr>
          <w:rStyle w:val="18"/>
          <w:rFonts w:hint="eastAsia" w:ascii="仿宋" w:hAnsi="仿宋" w:eastAsia="仿宋" w:cs="仿宋"/>
          <w:i w:val="0"/>
          <w:color w:val="000000"/>
          <w:kern w:val="0"/>
          <w:sz w:val="32"/>
          <w:szCs w:val="32"/>
          <w:shd w:val="clear" w:color="auto" w:fill="FFFFFF"/>
        </w:rPr>
        <w:t>万元</w:t>
      </w:r>
      <w:r>
        <w:rPr>
          <w:rStyle w:val="18"/>
          <w:rFonts w:hint="eastAsia" w:ascii="仿宋" w:hAnsi="仿宋" w:eastAsia="仿宋" w:cs="仿宋"/>
          <w:i w:val="0"/>
          <w:color w:val="000000"/>
          <w:kern w:val="0"/>
          <w:sz w:val="32"/>
          <w:szCs w:val="32"/>
          <w:shd w:val="clear" w:color="auto" w:fill="FFFFFF"/>
          <w:lang w:eastAsia="zh-CN"/>
        </w:rPr>
        <w:t>，</w:t>
      </w:r>
      <w:r>
        <w:rPr>
          <w:rStyle w:val="18"/>
          <w:rFonts w:hint="eastAsia" w:ascii="仿宋" w:hAnsi="仿宋" w:eastAsia="仿宋" w:cs="仿宋"/>
          <w:i w:val="0"/>
          <w:color w:val="000000"/>
          <w:kern w:val="0"/>
          <w:sz w:val="32"/>
          <w:szCs w:val="32"/>
          <w:shd w:val="clear" w:color="auto" w:fill="FFFFFF"/>
        </w:rPr>
        <w:t>其他行政事业单位养老支出</w:t>
      </w:r>
      <w:r>
        <w:rPr>
          <w:rStyle w:val="18"/>
          <w:rFonts w:hint="eastAsia" w:ascii="仿宋" w:hAnsi="仿宋" w:eastAsia="仿宋" w:cs="仿宋"/>
          <w:i w:val="0"/>
          <w:color w:val="000000"/>
          <w:kern w:val="0"/>
          <w:sz w:val="32"/>
          <w:szCs w:val="32"/>
          <w:shd w:val="clear" w:color="auto" w:fill="FFFFFF"/>
          <w:lang w:val="en-US" w:eastAsia="zh-CN"/>
        </w:rPr>
        <w:t>1.37</w:t>
      </w:r>
      <w:r>
        <w:rPr>
          <w:rStyle w:val="18"/>
          <w:rFonts w:hint="eastAsia" w:ascii="仿宋" w:hAnsi="仿宋" w:eastAsia="仿宋" w:cs="仿宋"/>
          <w:i w:val="0"/>
          <w:color w:val="000000"/>
          <w:kern w:val="0"/>
          <w:sz w:val="32"/>
          <w:szCs w:val="32"/>
          <w:shd w:val="clear" w:color="auto" w:fill="FFFFFF"/>
        </w:rPr>
        <w:t>万，事业单位医疗</w:t>
      </w:r>
      <w:r>
        <w:rPr>
          <w:rStyle w:val="18"/>
          <w:rFonts w:hint="eastAsia" w:ascii="仿宋" w:hAnsi="仿宋" w:eastAsia="仿宋" w:cs="仿宋"/>
          <w:i w:val="0"/>
          <w:color w:val="000000"/>
          <w:kern w:val="0"/>
          <w:sz w:val="32"/>
          <w:szCs w:val="32"/>
          <w:shd w:val="clear" w:color="auto" w:fill="FFFFFF"/>
          <w:lang w:val="en-US" w:eastAsia="zh-CN"/>
        </w:rPr>
        <w:t>10.54</w:t>
      </w:r>
      <w:r>
        <w:rPr>
          <w:rStyle w:val="18"/>
          <w:rFonts w:hint="eastAsia" w:ascii="仿宋" w:hAnsi="仿宋" w:eastAsia="仿宋" w:cs="仿宋"/>
          <w:i w:val="0"/>
          <w:color w:val="000000"/>
          <w:kern w:val="0"/>
          <w:sz w:val="32"/>
          <w:szCs w:val="32"/>
          <w:shd w:val="clear" w:color="auto" w:fill="FFFFFF"/>
        </w:rPr>
        <w:t>万元</w:t>
      </w:r>
      <w:r>
        <w:rPr>
          <w:rStyle w:val="18"/>
          <w:rFonts w:hint="eastAsia" w:ascii="仿宋" w:hAnsi="仿宋" w:eastAsia="仿宋" w:cs="仿宋"/>
          <w:i w:val="0"/>
          <w:color w:val="000000"/>
          <w:kern w:val="0"/>
          <w:sz w:val="32"/>
          <w:szCs w:val="32"/>
          <w:shd w:val="clear" w:color="auto" w:fill="FFFFFF"/>
          <w:lang w:val="en-US" w:eastAsia="zh-CN"/>
        </w:rPr>
        <w:t>，公务员医疗补助2.28万元，住房公积金13.95万元</w:t>
      </w:r>
      <w:r>
        <w:rPr>
          <w:rStyle w:val="18"/>
          <w:rFonts w:hint="eastAsia" w:ascii="仿宋" w:hAnsi="仿宋" w:eastAsia="仿宋" w:cs="仿宋"/>
          <w:i w:val="0"/>
          <w:color w:val="000000"/>
          <w:kern w:val="0"/>
          <w:sz w:val="32"/>
          <w:szCs w:val="32"/>
          <w:shd w:val="clear" w:color="auto" w:fill="FFFFFF"/>
        </w:rPr>
        <w:t>。</w:t>
      </w:r>
      <w:r>
        <w:rPr>
          <w:rFonts w:hint="eastAsia" w:ascii="Times New Roman" w:hAnsi="Times New Roman" w:eastAsia="仿宋_GB2312" w:cs="Times New Roman"/>
          <w:color w:val="auto"/>
          <w:sz w:val="32"/>
          <w:szCs w:val="32"/>
        </w:rPr>
        <w:t>按支出性质分类，</w:t>
      </w:r>
      <w:r>
        <w:rPr>
          <w:rFonts w:hint="eastAsia" w:eastAsia="仿宋_GB2312"/>
          <w:color w:val="323232"/>
          <w:kern w:val="0"/>
          <w:sz w:val="32"/>
          <w:szCs w:val="32"/>
          <w:lang w:eastAsia="zh-CN"/>
        </w:rPr>
        <w:t>基本支出286.77万元，项目支出</w:t>
      </w:r>
      <w:r>
        <w:rPr>
          <w:rFonts w:hint="eastAsia" w:eastAsia="仿宋_GB2312"/>
          <w:color w:val="323232"/>
          <w:kern w:val="0"/>
          <w:sz w:val="32"/>
          <w:szCs w:val="32"/>
          <w:lang w:val="en-US" w:eastAsia="zh-CN"/>
        </w:rPr>
        <w:t>147.76</w:t>
      </w:r>
      <w:r>
        <w:rPr>
          <w:rFonts w:hint="eastAsia" w:eastAsia="仿宋_GB2312"/>
          <w:color w:val="323232"/>
          <w:kern w:val="0"/>
          <w:sz w:val="32"/>
          <w:szCs w:val="32"/>
          <w:lang w:eastAsia="zh-CN"/>
        </w:rPr>
        <w:t>万元</w:t>
      </w:r>
      <w:r>
        <w:rPr>
          <w:rFonts w:hint="eastAsia" w:ascii="Times New Roman" w:hAnsi="Times New Roman" w:eastAsia="仿宋_GB2312" w:cs="Times New Roman"/>
          <w:color w:val="auto"/>
          <w:sz w:val="32"/>
          <w:szCs w:val="32"/>
        </w:rPr>
        <w:t>。</w:t>
      </w:r>
      <w:r>
        <w:rPr>
          <w:rStyle w:val="18"/>
          <w:rFonts w:hint="eastAsia" w:ascii="黑体" w:hAnsi="黑体" w:eastAsia="黑体" w:cs="黑体"/>
          <w:b w:val="0"/>
          <w:bCs w:val="0"/>
          <w:i w:val="0"/>
          <w:color w:val="000000"/>
          <w:kern w:val="0"/>
          <w:sz w:val="32"/>
          <w:szCs w:val="32"/>
          <w:shd w:val="clear" w:color="auto" w:fill="FFFFFF"/>
          <w:lang w:eastAsia="zh-CN"/>
        </w:rPr>
        <w:br w:type="textWrapping"/>
      </w:r>
      <w:r>
        <w:rPr>
          <w:rStyle w:val="18"/>
          <w:rFonts w:hint="eastAsia" w:ascii="黑体" w:hAnsi="黑体" w:eastAsia="黑体" w:cs="黑体"/>
          <w:b w:val="0"/>
          <w:bCs w:val="0"/>
          <w:i w:val="0"/>
          <w:color w:val="000000"/>
          <w:kern w:val="0"/>
          <w:sz w:val="32"/>
          <w:szCs w:val="32"/>
          <w:shd w:val="clear" w:color="auto" w:fill="FFFFFF"/>
          <w:lang w:eastAsia="zh-CN"/>
        </w:rPr>
        <w:t>　</w:t>
      </w:r>
      <w:r>
        <w:rPr>
          <w:rStyle w:val="18"/>
          <w:rFonts w:hint="eastAsia" w:ascii="黑体" w:hAnsi="黑体" w:eastAsia="黑体" w:cs="黑体"/>
          <w:b w:val="0"/>
          <w:bCs w:val="0"/>
          <w:i w:val="0"/>
          <w:color w:val="000000"/>
          <w:kern w:val="0"/>
          <w:sz w:val="32"/>
          <w:szCs w:val="32"/>
          <w:shd w:val="clear" w:color="auto" w:fill="FFFFFF"/>
          <w:lang w:val="en-US" w:eastAsia="zh-CN"/>
        </w:rPr>
        <w:t xml:space="preserve">  </w:t>
      </w:r>
      <w:r>
        <w:rPr>
          <w:rStyle w:val="18"/>
          <w:rFonts w:hint="eastAsia" w:ascii="黑体" w:hAnsi="黑体" w:eastAsia="黑体" w:cs="黑体"/>
          <w:b w:val="0"/>
          <w:bCs w:val="0"/>
          <w:i w:val="0"/>
          <w:color w:val="000000"/>
          <w:kern w:val="0"/>
          <w:sz w:val="32"/>
          <w:szCs w:val="32"/>
          <w:shd w:val="clear" w:color="auto" w:fill="FFFFFF"/>
          <w:lang w:eastAsia="zh-CN"/>
        </w:rPr>
        <w:t>三</w:t>
      </w:r>
      <w:r>
        <w:rPr>
          <w:rFonts w:hint="eastAsia" w:ascii="黑体" w:hAnsi="宋体" w:eastAsia="黑体" w:cs="宋体"/>
          <w:color w:val="000000"/>
          <w:kern w:val="0"/>
          <w:sz w:val="32"/>
          <w:szCs w:val="32"/>
          <w:shd w:val="clear" w:color="auto" w:fill="FFFFFF"/>
        </w:rPr>
        <w:t>、部门整体预算绩效管理情况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（一）部门预算管理</w:t>
      </w:r>
    </w:p>
    <w:p>
      <w:pPr>
        <w:pageBreakBefore w:val="0"/>
        <w:widowControl/>
        <w:kinsoku/>
        <w:wordWrap/>
        <w:overflowPunct/>
        <w:topLinePunct w:val="0"/>
        <w:bidi w:val="0"/>
        <w:spacing w:line="578" w:lineRule="exact"/>
        <w:ind w:firstLine="620" w:firstLineChars="200"/>
        <w:jc w:val="left"/>
        <w:textAlignment w:val="auto"/>
      </w:pPr>
      <w:r>
        <w:rPr>
          <w:rFonts w:eastAsia="仿宋_GB2312"/>
          <w:color w:val="000000"/>
          <w:kern w:val="0"/>
          <w:sz w:val="31"/>
          <w:szCs w:val="31"/>
          <w:lang w:bidi="ar"/>
        </w:rPr>
        <w:t xml:space="preserve">以预算编制为引领，以支出管理为核心，扎实做好预算工作。 </w:t>
      </w:r>
    </w:p>
    <w:p>
      <w:pPr>
        <w:pageBreakBefore w:val="0"/>
        <w:widowControl/>
        <w:kinsoku/>
        <w:wordWrap/>
        <w:overflowPunct/>
        <w:topLinePunct w:val="0"/>
        <w:bidi w:val="0"/>
        <w:spacing w:line="578" w:lineRule="exact"/>
        <w:ind w:firstLine="620" w:firstLineChars="200"/>
        <w:jc w:val="left"/>
        <w:textAlignment w:val="auto"/>
        <w:rPr>
          <w:rFonts w:eastAsia="仿宋_GB2312"/>
          <w:color w:val="000000"/>
          <w:kern w:val="0"/>
          <w:sz w:val="31"/>
          <w:szCs w:val="31"/>
          <w:lang w:bidi="ar"/>
        </w:rPr>
      </w:pPr>
      <w:r>
        <w:rPr>
          <w:rFonts w:eastAsia="仿宋_GB2312"/>
          <w:color w:val="000000"/>
          <w:kern w:val="0"/>
          <w:sz w:val="31"/>
          <w:szCs w:val="31"/>
          <w:lang w:bidi="ar"/>
        </w:rPr>
        <w:t>一是严格按照预算编制要求，认真贯彻落实中央、省委省政府关于“厉行节约”的一系列指示要求，提高精细化水平，确保预算编制的科学性和准确性。</w:t>
      </w:r>
    </w:p>
    <w:p>
      <w:pPr>
        <w:pageBreakBefore w:val="0"/>
        <w:widowControl/>
        <w:kinsoku/>
        <w:wordWrap/>
        <w:overflowPunct/>
        <w:topLinePunct w:val="0"/>
        <w:bidi w:val="0"/>
        <w:spacing w:line="578" w:lineRule="exact"/>
        <w:ind w:firstLine="620" w:firstLineChars="200"/>
        <w:jc w:val="left"/>
        <w:textAlignment w:val="auto"/>
      </w:pPr>
      <w:r>
        <w:rPr>
          <w:rFonts w:eastAsia="仿宋_GB2312"/>
          <w:color w:val="000000"/>
          <w:kern w:val="0"/>
          <w:sz w:val="31"/>
          <w:szCs w:val="31"/>
          <w:lang w:bidi="ar"/>
        </w:rPr>
        <w:t>二是加强支出进度管理，完善预算动态监控，主动作为，提前谋划，在完成一般性支出压减任务的情况下，确保了机关运行和重大项目的实施。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（二）结果应用情况</w:t>
      </w:r>
    </w:p>
    <w:p>
      <w:pPr>
        <w:pageBreakBefore w:val="0"/>
        <w:widowControl/>
        <w:kinsoku/>
        <w:wordWrap/>
        <w:overflowPunct/>
        <w:topLinePunct w:val="0"/>
        <w:bidi w:val="0"/>
        <w:adjustRightInd w:val="0"/>
        <w:snapToGrid w:val="0"/>
        <w:spacing w:line="578" w:lineRule="exact"/>
        <w:ind w:firstLine="640" w:firstLineChars="200"/>
        <w:textAlignment w:val="auto"/>
      </w:pPr>
      <w:r>
        <w:rPr>
          <w:rFonts w:hint="eastAsia" w:ascii="仿宋" w:hAnsi="仿宋" w:eastAsia="仿宋"/>
          <w:color w:val="000000"/>
          <w:sz w:val="32"/>
          <w:szCs w:val="32"/>
        </w:rPr>
        <w:t>我中心对部门预算绩效管理工作开展情况认真进行了自查自评。绩效评价自查开展覆盖重点支出，将评价结果作为预算安排的重要依据，参照项目年度预算执行情况、根据执行情况调整次年项目支出需求，保障重点支出，调整支出结构，优化财政资金配置，不断强化绩效理念，推动我中心部门整体绩效管理水平不断提升。</w:t>
      </w:r>
    </w:p>
    <w:p>
      <w:pPr>
        <w:pageBreakBefore w:val="0"/>
        <w:widowControl/>
        <w:kinsoku/>
        <w:wordWrap/>
        <w:overflowPunct/>
        <w:topLinePunct w:val="0"/>
        <w:bidi w:val="0"/>
        <w:adjustRightInd w:val="0"/>
        <w:snapToGrid w:val="0"/>
        <w:spacing w:line="578" w:lineRule="exact"/>
        <w:ind w:firstLine="640" w:firstLineChars="200"/>
        <w:contextualSpacing/>
        <w:jc w:val="left"/>
        <w:textAlignment w:val="auto"/>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（一）评价结论</w:t>
      </w:r>
    </w:p>
    <w:p>
      <w:pPr>
        <w:pageBreakBefore w:val="0"/>
        <w:widowControl/>
        <w:kinsoku/>
        <w:wordWrap/>
        <w:overflowPunct/>
        <w:topLinePunct w:val="0"/>
        <w:bidi w:val="0"/>
        <w:adjustRightInd w:val="0"/>
        <w:snapToGrid w:val="0"/>
        <w:spacing w:line="578" w:lineRule="exact"/>
        <w:ind w:firstLine="720"/>
        <w:jc w:val="left"/>
        <w:textAlignment w:val="auto"/>
        <w:rPr>
          <w:rFonts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年我单位部门支出绩效评价工作自评为较好。总体来看，资金分配合理，项目实施有序，管理有章可循，支出合法合规，为保障和促进公共资源交易工作顺利开展发挥了重要作用。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（二）存在问题</w:t>
      </w:r>
    </w:p>
    <w:p>
      <w:pPr>
        <w:pageBreakBefore w:val="0"/>
        <w:widowControl/>
        <w:kinsoku/>
        <w:wordWrap/>
        <w:overflowPunct/>
        <w:topLinePunct w:val="0"/>
        <w:bidi w:val="0"/>
        <w:spacing w:line="578" w:lineRule="exact"/>
        <w:ind w:firstLine="620" w:firstLineChars="200"/>
        <w:jc w:val="left"/>
        <w:textAlignment w:val="auto"/>
      </w:pPr>
      <w:r>
        <w:rPr>
          <w:rFonts w:eastAsia="仿宋_GB2312"/>
          <w:color w:val="000000"/>
          <w:kern w:val="0"/>
          <w:sz w:val="31"/>
          <w:szCs w:val="31"/>
          <w:lang w:bidi="ar"/>
        </w:rPr>
        <w:t>个别项目实施进度稍缓，绩效管理信息支撑工作有待加强， 绩效评价的结果运用有待提高。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（三）改进建议</w:t>
      </w:r>
    </w:p>
    <w:p>
      <w:pPr>
        <w:pageBreakBefore w:val="0"/>
        <w:widowControl/>
        <w:kinsoku/>
        <w:wordWrap/>
        <w:overflowPunct/>
        <w:topLinePunct w:val="0"/>
        <w:bidi w:val="0"/>
        <w:adjustRightInd w:val="0"/>
        <w:snapToGrid w:val="0"/>
        <w:spacing w:line="578" w:lineRule="exact"/>
        <w:ind w:firstLine="640" w:firstLineChars="200"/>
        <w:jc w:val="left"/>
        <w:textAlignment w:val="auto"/>
        <w:rPr>
          <w:rFonts w:hint="eastAsia" w:ascii="仿宋" w:hAnsi="仿宋" w:eastAsia="仿宋"/>
          <w:color w:val="000000"/>
          <w:sz w:val="32"/>
          <w:szCs w:val="32"/>
        </w:rPr>
      </w:pPr>
      <w:r>
        <w:rPr>
          <w:rFonts w:hint="eastAsia" w:ascii="仿宋" w:hAnsi="仿宋" w:eastAsia="仿宋"/>
          <w:color w:val="000000"/>
          <w:sz w:val="32"/>
          <w:szCs w:val="32"/>
        </w:rPr>
        <w:t>中心将不断强化绩效管理意识，通过预算执行情况跟踪来推进绩效管理工作，并对发现的问题及时进行整改，将评价结果作为次年预算编制的重要依据，优化结构、完善相关办法、改进预算管理。</w:t>
      </w:r>
    </w:p>
    <w:p>
      <w:pPr>
        <w:pageBreakBefore w:val="0"/>
        <w:kinsoku/>
        <w:wordWrap/>
        <w:overflowPunct/>
        <w:topLinePunct w:val="0"/>
        <w:bidi w:val="0"/>
        <w:spacing w:line="578"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78"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78"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78"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78"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78" w:lineRule="exact"/>
        <w:textAlignment w:val="auto"/>
        <w:rPr>
          <w:rFonts w:ascii="仿宋_GB2312" w:hAnsi="仿宋_GB2312" w:eastAsia="仿宋_GB2312" w:cs="仿宋_GB2312"/>
          <w:sz w:val="32"/>
          <w:szCs w:val="32"/>
        </w:rPr>
      </w:pPr>
    </w:p>
    <w:p>
      <w:pPr>
        <w:pageBreakBefore w:val="0"/>
        <w:kinsoku/>
        <w:wordWrap/>
        <w:overflowPunct/>
        <w:topLinePunct w:val="0"/>
        <w:bidi w:val="0"/>
        <w:spacing w:line="578" w:lineRule="exact"/>
        <w:textAlignment w:val="auto"/>
        <w:rPr>
          <w:rFonts w:hint="eastAsia" w:ascii="黑体" w:hAnsi="黑体" w:eastAsia="黑体" w:cs="黑体"/>
          <w:sz w:val="32"/>
          <w:szCs w:val="32"/>
        </w:rPr>
      </w:pPr>
    </w:p>
    <w:p>
      <w:pPr>
        <w:pageBreakBefore w:val="0"/>
        <w:kinsoku/>
        <w:wordWrap/>
        <w:overflowPunct/>
        <w:topLinePunct w:val="0"/>
        <w:bidi w:val="0"/>
        <w:spacing w:line="578" w:lineRule="exact"/>
        <w:textAlignment w:val="auto"/>
        <w:rPr>
          <w:rFonts w:ascii="仿宋_GB2312" w:hAnsi="仿宋_GB2312" w:eastAsia="仿宋_GB2312" w:cs="仿宋_GB2312"/>
          <w:sz w:val="32"/>
          <w:szCs w:val="32"/>
        </w:rPr>
      </w:pPr>
      <w:r>
        <w:rPr>
          <w:rFonts w:hint="eastAsia" w:ascii="黑体" w:hAnsi="黑体" w:eastAsia="黑体" w:cs="黑体"/>
          <w:sz w:val="32"/>
          <w:szCs w:val="32"/>
        </w:rPr>
        <w:t>附件2</w:t>
      </w:r>
    </w:p>
    <w:p>
      <w:pPr>
        <w:pageBreakBefore w:val="0"/>
        <w:kinsoku/>
        <w:wordWrap/>
        <w:overflowPunct/>
        <w:topLinePunct w:val="0"/>
        <w:bidi w:val="0"/>
        <w:spacing w:line="578"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78" w:lineRule="exact"/>
        <w:jc w:val="center"/>
        <w:textAlignment w:val="auto"/>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专家评审</w:t>
      </w:r>
      <w:r>
        <w:rPr>
          <w:rFonts w:hint="eastAsia" w:ascii="方正小标宋简体" w:hAnsi="宋体" w:eastAsia="方正小标宋简体"/>
          <w:color w:val="000000"/>
          <w:kern w:val="0"/>
          <w:sz w:val="44"/>
          <w:szCs w:val="44"/>
        </w:rPr>
        <w:t>费</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pageBreakBefore w:val="0"/>
        <w:kinsoku/>
        <w:wordWrap/>
        <w:overflowPunct/>
        <w:topLinePunct w:val="0"/>
        <w:bidi w:val="0"/>
        <w:spacing w:line="578" w:lineRule="exact"/>
        <w:textAlignment w:val="auto"/>
        <w:rPr>
          <w:rFonts w:ascii="宋体" w:hAnsi="宋体"/>
          <w:sz w:val="32"/>
          <w:szCs w:val="32"/>
          <w:lang w:val="zh-CN"/>
        </w:rPr>
      </w:pPr>
    </w:p>
    <w:p>
      <w:pPr>
        <w:pageBreakBefore w:val="0"/>
        <w:kinsoku/>
        <w:wordWrap/>
        <w:overflowPunct/>
        <w:topLinePunct w:val="0"/>
        <w:bidi w:val="0"/>
        <w:adjustRightInd w:val="0"/>
        <w:snapToGrid w:val="0"/>
        <w:spacing w:line="578" w:lineRule="exact"/>
        <w:ind w:firstLine="72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（一）项目基本情况</w:t>
      </w:r>
    </w:p>
    <w:p>
      <w:pPr>
        <w:pageBreakBefore w:val="0"/>
        <w:kinsoku/>
        <w:wordWrap/>
        <w:overflowPunct/>
        <w:topLinePunct w:val="0"/>
        <w:bidi w:val="0"/>
        <w:spacing w:line="578"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为进一步规范交易程序，提高评审工作质量，规范评审劳务报酬支付行为，维护采购人、采购代理机构和评审专家的合法权益，根据四川省财政厅《关于政府采购评审专家劳务报酬支付标准指导意见》（川财采〔2014〕8号）、泸州市财政局关于印发《泸州市政府采购评审专家劳务报酬支付办法的通知》（泸市采〔2014〕18号）、《泸州市人民政府关于进一步规范土地出让和交易管理的通知》（泸市府发〔2016〕29号）、《泸州市国土局关于落实泸州市本级土地矿权招拍挂主持人劳务费的函》相关规定，申报该项目资金。该资金用于县本级政府采购、国有土地、矿权、资产使用权出让、集体土地入市评审专家劳务费、招拍挂主持人劳务费、专家需求论证费、误餐费、外地专家的交通费、律师费用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（二）项目绩效目标</w:t>
      </w:r>
    </w:p>
    <w:p>
      <w:pPr>
        <w:pageBreakBefore w:val="0"/>
        <w:kinsoku/>
        <w:wordWrap/>
        <w:overflowPunct/>
        <w:topLinePunct w:val="0"/>
        <w:bidi w:val="0"/>
        <w:spacing w:line="578" w:lineRule="exact"/>
        <w:ind w:firstLine="640" w:firstLineChars="200"/>
        <w:textAlignment w:val="auto"/>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2021年劳务费项目预算90万元,主要用于支付县本级政府采购、国有土地、矿权、资产使用权出让、集体土地入市评审专家劳务费。</w:t>
      </w: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预计全年完成专家评审150场次，</w:t>
      </w:r>
      <w:r>
        <w:rPr>
          <w:rFonts w:hint="eastAsia" w:ascii="仿宋" w:hAnsi="仿宋" w:eastAsia="仿宋" w:cs="Times New Roman"/>
          <w:color w:val="000000"/>
          <w:kern w:val="0"/>
          <w:sz w:val="32"/>
          <w:szCs w:val="32"/>
          <w:lang w:val="en-US" w:eastAsia="zh-CN" w:bidi="ar-SA"/>
        </w:rPr>
        <w:t>并建立公开透明的采购流程，做好采购人、投标人、评审专家满意度调查。加强资金管理，节约财政资金，保证项目资金使用到位，提高资金使用效率，形成相关报告，为政府决策提供依据。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（三）项目自评步骤及方法</w:t>
      </w:r>
    </w:p>
    <w:p>
      <w:pPr>
        <w:pStyle w:val="30"/>
        <w:pageBreakBefore w:val="0"/>
        <w:kinsoku/>
        <w:wordWrap/>
        <w:overflowPunct/>
        <w:topLinePunct w:val="0"/>
        <w:bidi w:val="0"/>
        <w:spacing w:line="578" w:lineRule="exact"/>
        <w:ind w:firstLine="643" w:firstLineChars="200"/>
        <w:contextualSpacing/>
        <w:jc w:val="both"/>
        <w:textAlignment w:val="auto"/>
        <w:rPr>
          <w:rFonts w:hint="eastAsia" w:ascii="仿宋" w:hAnsi="仿宋" w:eastAsia="仿宋" w:cs="Times New Roman"/>
          <w:color w:val="000000"/>
          <w:kern w:val="0"/>
          <w:sz w:val="32"/>
          <w:szCs w:val="32"/>
          <w:lang w:val="en-US" w:eastAsia="zh-CN" w:bidi="ar-SA"/>
        </w:rPr>
      </w:pPr>
      <w:r>
        <w:rPr>
          <w:rFonts w:hint="eastAsia" w:ascii="Times New Roman" w:hAnsi="Times New Roman" w:eastAsia="仿宋_GB2312" w:cs="Times New Roman"/>
          <w:b/>
          <w:bCs/>
          <w:color w:val="auto"/>
          <w:sz w:val="32"/>
          <w:szCs w:val="32"/>
        </w:rPr>
        <w:t>1.前期准备。</w:t>
      </w:r>
      <w:r>
        <w:rPr>
          <w:rFonts w:hint="eastAsia" w:ascii="仿宋" w:hAnsi="仿宋" w:eastAsia="仿宋" w:cs="Times New Roman"/>
          <w:color w:val="000000"/>
          <w:kern w:val="0"/>
          <w:sz w:val="32"/>
          <w:szCs w:val="32"/>
          <w:lang w:val="en-US" w:eastAsia="zh-CN" w:bidi="ar-SA"/>
        </w:rPr>
        <w:t>认真学习财政关于全面推行预算绩效管理的相关文件精神，研究绩效评价指标体系，准确把握工作要求，为扎实开展绩效评价打下良好基础。</w:t>
      </w:r>
    </w:p>
    <w:p>
      <w:pPr>
        <w:pStyle w:val="30"/>
        <w:pageBreakBefore w:val="0"/>
        <w:kinsoku/>
        <w:wordWrap/>
        <w:overflowPunct/>
        <w:topLinePunct w:val="0"/>
        <w:bidi w:val="0"/>
        <w:spacing w:line="578" w:lineRule="exact"/>
        <w:ind w:firstLine="643" w:firstLineChars="200"/>
        <w:contextualSpacing/>
        <w:jc w:val="both"/>
        <w:textAlignment w:val="auto"/>
        <w:rPr>
          <w:rFonts w:hint="eastAsia" w:ascii="仿宋" w:hAnsi="仿宋" w:eastAsia="仿宋" w:cs="Times New Roman"/>
          <w:color w:val="000000"/>
          <w:kern w:val="0"/>
          <w:sz w:val="32"/>
          <w:szCs w:val="32"/>
          <w:lang w:val="en-US" w:eastAsia="zh-CN" w:bidi="ar-SA"/>
        </w:rPr>
      </w:pPr>
      <w:r>
        <w:rPr>
          <w:rFonts w:hint="eastAsia" w:ascii="Times New Roman" w:hAnsi="Times New Roman" w:eastAsia="仿宋_GB2312" w:cs="Times New Roman"/>
          <w:b/>
          <w:bCs/>
          <w:color w:val="auto"/>
          <w:sz w:val="32"/>
          <w:szCs w:val="32"/>
        </w:rPr>
        <w:t>2.组织实施。</w:t>
      </w:r>
      <w:r>
        <w:rPr>
          <w:rFonts w:hint="eastAsia" w:ascii="仿宋" w:hAnsi="仿宋" w:eastAsia="仿宋" w:cs="Times New Roman"/>
          <w:color w:val="000000"/>
          <w:kern w:val="0"/>
          <w:sz w:val="32"/>
          <w:szCs w:val="32"/>
          <w:lang w:val="en-US" w:eastAsia="zh-CN" w:bidi="ar-SA"/>
        </w:rPr>
        <w:t>针对绩效评价的相关要求，认真收集、核实评价基础数据，进行绩效自评，根据检查情况，撰写绩效自评报告。</w:t>
      </w:r>
    </w:p>
    <w:p>
      <w:pPr>
        <w:pageBreakBefore w:val="0"/>
        <w:kinsoku/>
        <w:wordWrap/>
        <w:overflowPunct/>
        <w:topLinePunct w:val="0"/>
        <w:bidi w:val="0"/>
        <w:adjustRightInd w:val="0"/>
        <w:snapToGrid w:val="0"/>
        <w:spacing w:line="578" w:lineRule="exact"/>
        <w:ind w:firstLine="720"/>
        <w:textAlignment w:val="auto"/>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（一）项目资金申报及批复情况</w:t>
      </w:r>
    </w:p>
    <w:p>
      <w:pPr>
        <w:pageBreakBefore w:val="0"/>
        <w:kinsoku/>
        <w:wordWrap/>
        <w:overflowPunct/>
        <w:topLinePunct w:val="0"/>
        <w:bidi w:val="0"/>
        <w:spacing w:line="578"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年初经费预算90万元，按年度进行申报。资金及时批复到位。其符合资金管理办法等相关规定。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（二）资金计划、到位及使用情况</w:t>
      </w:r>
    </w:p>
    <w:p>
      <w:pPr>
        <w:pageBreakBefore w:val="0"/>
        <w:kinsoku/>
        <w:wordWrap/>
        <w:overflowPunct/>
        <w:topLinePunct w:val="0"/>
        <w:bidi w:val="0"/>
        <w:spacing w:line="578" w:lineRule="exact"/>
        <w:ind w:firstLine="643" w:firstLineChars="200"/>
        <w:textAlignment w:val="auto"/>
        <w:rPr>
          <w:rFonts w:hint="eastAsia" w:ascii="仿宋" w:hAnsi="仿宋" w:eastAsia="仿宋" w:cs="Times New Roman"/>
          <w:color w:val="000000"/>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1.资金计划。</w:t>
      </w:r>
      <w:r>
        <w:rPr>
          <w:rFonts w:hint="eastAsia" w:ascii="仿宋" w:hAnsi="仿宋" w:eastAsia="仿宋" w:cs="Times New Roman"/>
          <w:color w:val="000000"/>
          <w:kern w:val="0"/>
          <w:sz w:val="32"/>
          <w:szCs w:val="32"/>
          <w:lang w:val="en-US" w:eastAsia="zh-CN" w:bidi="ar-SA"/>
        </w:rPr>
        <w:t>该90万元为县财政资金。</w:t>
      </w:r>
    </w:p>
    <w:p>
      <w:pPr>
        <w:pageBreakBefore w:val="0"/>
        <w:kinsoku/>
        <w:wordWrap/>
        <w:overflowPunct/>
        <w:topLinePunct w:val="0"/>
        <w:bidi w:val="0"/>
        <w:spacing w:line="578" w:lineRule="exact"/>
        <w:ind w:firstLine="643" w:firstLineChars="200"/>
        <w:textAlignment w:val="auto"/>
        <w:rPr>
          <w:rFonts w:hint="eastAsia" w:ascii="仿宋" w:hAnsi="仿宋" w:eastAsia="仿宋" w:cs="Times New Roman"/>
          <w:color w:val="000000"/>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2.资金到位。</w:t>
      </w:r>
      <w:r>
        <w:rPr>
          <w:rFonts w:hint="eastAsia" w:ascii="仿宋" w:hAnsi="仿宋" w:eastAsia="仿宋" w:cs="Times New Roman"/>
          <w:color w:val="000000"/>
          <w:kern w:val="0"/>
          <w:sz w:val="32"/>
          <w:szCs w:val="32"/>
          <w:lang w:val="en-US" w:eastAsia="zh-CN" w:bidi="ar-SA"/>
        </w:rPr>
        <w:t>截止2021年12月，所有计划资金全部到位，共计90万元。</w:t>
      </w:r>
    </w:p>
    <w:p>
      <w:pPr>
        <w:pageBreakBefore w:val="0"/>
        <w:kinsoku/>
        <w:wordWrap/>
        <w:overflowPunct/>
        <w:topLinePunct w:val="0"/>
        <w:bidi w:val="0"/>
        <w:spacing w:line="578" w:lineRule="exact"/>
        <w:ind w:firstLine="643" w:firstLineChars="200"/>
        <w:textAlignment w:val="auto"/>
        <w:rPr>
          <w:rFonts w:hint="eastAsia" w:ascii="仿宋" w:hAnsi="仿宋" w:eastAsia="仿宋" w:cs="Times New Roman"/>
          <w:color w:val="000000"/>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3.资金使用。</w:t>
      </w:r>
      <w:r>
        <w:rPr>
          <w:rFonts w:hint="eastAsia" w:ascii="仿宋" w:hAnsi="仿宋" w:eastAsia="仿宋" w:cs="Times New Roman"/>
          <w:color w:val="000000"/>
          <w:kern w:val="0"/>
          <w:sz w:val="32"/>
          <w:szCs w:val="32"/>
          <w:lang w:val="en-US" w:eastAsia="zh-CN" w:bidi="ar-SA"/>
        </w:rPr>
        <w:t>截止2021年12月底，劳务费支出，共计90万元，主要用于：专家需求论证费、专家评标费、土地招拍挂主持人劳务费、误餐费等。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（三）项目财务管理情况</w:t>
      </w:r>
    </w:p>
    <w:p>
      <w:pPr>
        <w:pageBreakBefore w:val="0"/>
        <w:kinsoku/>
        <w:wordWrap/>
        <w:overflowPunct/>
        <w:topLinePunct w:val="0"/>
        <w:bidi w:val="0"/>
        <w:adjustRightInd w:val="0"/>
        <w:snapToGrid w:val="0"/>
        <w:spacing w:line="578" w:lineRule="exact"/>
        <w:ind w:firstLine="720"/>
        <w:textAlignment w:val="auto"/>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严格按照项目资金管理办法对资金进行计划申请、划拨、使用，及时、规范对收支进行账务处理和会计核算。</w:t>
      </w:r>
    </w:p>
    <w:p>
      <w:pPr>
        <w:pageBreakBefore w:val="0"/>
        <w:kinsoku/>
        <w:wordWrap/>
        <w:overflowPunct/>
        <w:topLinePunct w:val="0"/>
        <w:bidi w:val="0"/>
        <w:adjustRightInd w:val="0"/>
        <w:snapToGrid w:val="0"/>
        <w:spacing w:line="578" w:lineRule="exact"/>
        <w:ind w:firstLine="720"/>
        <w:textAlignment w:val="auto"/>
        <w:rPr>
          <w:rFonts w:ascii="黑体" w:hAnsi="宋体" w:eastAsia="黑体"/>
          <w:sz w:val="32"/>
          <w:szCs w:val="32"/>
        </w:rPr>
      </w:pPr>
      <w:r>
        <w:rPr>
          <w:rFonts w:hint="eastAsia" w:ascii="黑体" w:hAnsi="宋体" w:eastAsia="黑体"/>
          <w:sz w:val="32"/>
          <w:szCs w:val="32"/>
        </w:rPr>
        <w:t>三、项目实施及管理情况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（一）项目组织架构及实施流程</w:t>
      </w:r>
    </w:p>
    <w:p>
      <w:pPr>
        <w:pageBreakBefore w:val="0"/>
        <w:kinsoku/>
        <w:wordWrap/>
        <w:overflowPunct/>
        <w:topLinePunct w:val="0"/>
        <w:bidi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成立项目工作领导小组。</w:t>
      </w:r>
    </w:p>
    <w:p>
      <w:pPr>
        <w:pageBreakBefore w:val="0"/>
        <w:kinsoku/>
        <w:wordWrap/>
        <w:overflowPunct/>
        <w:topLinePunct w:val="0"/>
        <w:bidi w:val="0"/>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组 长：主任</w:t>
      </w:r>
    </w:p>
    <w:p>
      <w:pPr>
        <w:pageBreakBefore w:val="0"/>
        <w:kinsoku/>
        <w:wordWrap/>
        <w:overflowPunct/>
        <w:topLinePunct w:val="0"/>
        <w:bidi w:val="0"/>
        <w:spacing w:line="578"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副组长：</w:t>
      </w:r>
      <w:r>
        <w:rPr>
          <w:rFonts w:hint="eastAsia" w:ascii="仿宋_GB2312" w:eastAsia="仿宋_GB2312"/>
          <w:sz w:val="32"/>
          <w:szCs w:val="32"/>
          <w:lang w:eastAsia="zh-CN"/>
        </w:rPr>
        <w:t>副主任</w:t>
      </w:r>
      <w:r>
        <w:rPr>
          <w:rFonts w:hint="eastAsia" w:ascii="仿宋_GB2312" w:eastAsia="仿宋_GB2312"/>
          <w:sz w:val="32"/>
          <w:szCs w:val="32"/>
          <w:lang w:val="en-US" w:eastAsia="zh-CN"/>
        </w:rPr>
        <w:t xml:space="preserve"> 纪检组长</w:t>
      </w:r>
    </w:p>
    <w:p>
      <w:pPr>
        <w:pageBreakBefore w:val="0"/>
        <w:kinsoku/>
        <w:wordWrap/>
        <w:overflowPunct/>
        <w:topLinePunct w:val="0"/>
        <w:bidi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成  员：</w:t>
      </w:r>
      <w:r>
        <w:rPr>
          <w:rFonts w:hint="eastAsia" w:ascii="仿宋_GB2312" w:eastAsia="仿宋_GB2312"/>
          <w:sz w:val="32"/>
          <w:szCs w:val="32"/>
          <w:lang w:eastAsia="zh-CN"/>
        </w:rPr>
        <w:t>各股室</w:t>
      </w:r>
      <w:r>
        <w:rPr>
          <w:rFonts w:hint="eastAsia" w:ascii="仿宋_GB2312" w:eastAsia="仿宋_GB2312"/>
          <w:sz w:val="32"/>
          <w:szCs w:val="32"/>
        </w:rPr>
        <w:t>负责人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（二）项目管理情况</w:t>
      </w:r>
    </w:p>
    <w:p>
      <w:pPr>
        <w:pageBreakBefore w:val="0"/>
        <w:kinsoku/>
        <w:wordWrap/>
        <w:overflowPunct/>
        <w:topLinePunct w:val="0"/>
        <w:bidi w:val="0"/>
        <w:spacing w:line="578" w:lineRule="exact"/>
        <w:ind w:firstLine="640" w:firstLineChars="200"/>
        <w:textAlignment w:val="auto"/>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本项目采取项目工作领导小组负责制，全体成员积极配合、通力合作。项目工作领导小组负责协调相关工作，项目实施及资金管理。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（三）项目监管情况</w:t>
      </w:r>
    </w:p>
    <w:p>
      <w:pPr>
        <w:pageBreakBefore w:val="0"/>
        <w:kinsoku/>
        <w:wordWrap/>
        <w:overflowPunct/>
        <w:topLinePunct w:val="0"/>
        <w:bidi w:val="0"/>
        <w:spacing w:line="578" w:lineRule="exact"/>
        <w:ind w:firstLine="640" w:firstLineChars="200"/>
        <w:textAlignment w:val="auto"/>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项目资金由办公室负责，办公室下设财务室具体管理，对项目资金按项目单独核算实行“专款专用”，不得挤占挪用项目资金。强化监督，对项目资金列支进行常态化地监督检查。</w:t>
      </w:r>
    </w:p>
    <w:p>
      <w:pPr>
        <w:pageBreakBefore w:val="0"/>
        <w:kinsoku/>
        <w:wordWrap/>
        <w:overflowPunct/>
        <w:topLinePunct w:val="0"/>
        <w:bidi w:val="0"/>
        <w:adjustRightInd w:val="0"/>
        <w:snapToGrid w:val="0"/>
        <w:spacing w:line="578" w:lineRule="exact"/>
        <w:ind w:firstLine="720"/>
        <w:textAlignment w:val="auto"/>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（一）项目完成情况</w:t>
      </w:r>
    </w:p>
    <w:p>
      <w:pPr>
        <w:pStyle w:val="42"/>
        <w:pageBreakBefore w:val="0"/>
        <w:kinsoku/>
        <w:wordWrap/>
        <w:overflowPunct/>
        <w:topLinePunct w:val="0"/>
        <w:bidi w:val="0"/>
        <w:spacing w:line="578" w:lineRule="exact"/>
        <w:ind w:firstLine="640"/>
        <w:jc w:val="left"/>
        <w:textAlignment w:val="auto"/>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kern w:val="0"/>
          <w:sz w:val="32"/>
          <w:szCs w:val="32"/>
          <w:lang w:val="en-US" w:eastAsia="zh-CN" w:bidi="ar-SA"/>
        </w:rPr>
        <w:t>1.目标完成任务量</w:t>
      </w: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。全年完成政府采购项目125宗，国有土地交易33宗，国有资产交易15个批次，集体经营性建设用地交易8个批次，采砂权交易1宗。</w:t>
      </w:r>
    </w:p>
    <w:p>
      <w:pPr>
        <w:pStyle w:val="42"/>
        <w:pageBreakBefore w:val="0"/>
        <w:kinsoku/>
        <w:wordWrap/>
        <w:overflowPunct/>
        <w:topLinePunct w:val="0"/>
        <w:bidi w:val="0"/>
        <w:spacing w:line="578" w:lineRule="exact"/>
        <w:ind w:firstLine="640"/>
        <w:jc w:val="left"/>
        <w:textAlignment w:val="auto"/>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2.目标完成质量。规范劳务费使用，提高使用质量，项</w:t>
      </w:r>
      <w:r>
        <w:rPr>
          <w:rFonts w:hint="eastAsia" w:ascii="仿宋" w:hAnsi="仿宋" w:eastAsia="仿宋" w:cs="Times New Roman"/>
          <w:color w:val="000000"/>
          <w:kern w:val="0"/>
          <w:sz w:val="32"/>
          <w:szCs w:val="32"/>
          <w:lang w:val="en-US" w:eastAsia="zh-CN" w:bidi="ar-SA"/>
        </w:rPr>
        <w:t>目顺利开展。</w:t>
      </w:r>
    </w:p>
    <w:p>
      <w:pPr>
        <w:pageBreakBefore w:val="0"/>
        <w:kinsoku/>
        <w:wordWrap/>
        <w:overflowPunct/>
        <w:topLinePunct w:val="0"/>
        <w:bidi w:val="0"/>
        <w:spacing w:line="578" w:lineRule="exact"/>
        <w:ind w:firstLine="640" w:firstLineChars="200"/>
        <w:textAlignment w:val="auto"/>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3.目标完成进度。截止2021年12月，劳务费项目已完成90万元。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（二）项目效益情况</w:t>
      </w:r>
    </w:p>
    <w:p>
      <w:pPr>
        <w:pageBreakBefore w:val="0"/>
        <w:kinsoku/>
        <w:wordWrap/>
        <w:overflowPunct/>
        <w:topLinePunct w:val="0"/>
        <w:bidi w:val="0"/>
        <w:spacing w:line="578" w:lineRule="exact"/>
        <w:ind w:firstLine="640" w:firstLineChars="200"/>
        <w:textAlignment w:val="auto"/>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中心立足“公共服务”定位，提升公共资源交易服务标准化规范化建设。被授予省级“示范交易中心”。风险防控能力大幅提升，进一步规范了各类交易行为，遏制围标串标等突出问题，确保交易活动更加公平公正。</w:t>
      </w:r>
    </w:p>
    <w:p>
      <w:pPr>
        <w:pageBreakBefore w:val="0"/>
        <w:kinsoku/>
        <w:wordWrap/>
        <w:overflowPunct/>
        <w:topLinePunct w:val="0"/>
        <w:bidi w:val="0"/>
        <w:adjustRightInd w:val="0"/>
        <w:snapToGrid w:val="0"/>
        <w:spacing w:line="578" w:lineRule="exact"/>
        <w:ind w:firstLine="720"/>
        <w:textAlignment w:val="auto"/>
        <w:rPr>
          <w:rFonts w:ascii="黑体" w:hAnsi="宋体" w:eastAsia="黑体"/>
          <w:sz w:val="32"/>
          <w:szCs w:val="32"/>
        </w:rPr>
      </w:pPr>
      <w:r>
        <w:rPr>
          <w:rFonts w:hint="eastAsia" w:ascii="黑体" w:hAnsi="宋体" w:eastAsia="黑体"/>
          <w:sz w:val="32"/>
          <w:szCs w:val="32"/>
        </w:rPr>
        <w:t>五、评价结论及建议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（一）评价结论</w:t>
      </w:r>
    </w:p>
    <w:p>
      <w:pPr>
        <w:pStyle w:val="30"/>
        <w:pageBreakBefore w:val="0"/>
        <w:kinsoku/>
        <w:wordWrap/>
        <w:overflowPunct/>
        <w:topLinePunct w:val="0"/>
        <w:bidi w:val="0"/>
        <w:spacing w:line="578" w:lineRule="exact"/>
        <w:ind w:firstLine="640" w:firstLineChars="200"/>
        <w:contextualSpacing/>
        <w:jc w:val="both"/>
        <w:textAlignment w:val="auto"/>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在202</w:t>
      </w:r>
      <w:r>
        <w:rPr>
          <w:rFonts w:hint="eastAsia" w:hAnsi="仿宋" w:cs="Times New Roman"/>
          <w:color w:val="000000"/>
          <w:kern w:val="0"/>
          <w:sz w:val="32"/>
          <w:szCs w:val="32"/>
          <w:lang w:val="en-US" w:eastAsia="zh-CN" w:bidi="ar-SA"/>
        </w:rPr>
        <w:t>1</w:t>
      </w:r>
      <w:r>
        <w:rPr>
          <w:rFonts w:hint="eastAsia" w:ascii="仿宋" w:hAnsi="仿宋" w:eastAsia="仿宋" w:cs="Times New Roman"/>
          <w:color w:val="000000"/>
          <w:kern w:val="0"/>
          <w:sz w:val="32"/>
          <w:szCs w:val="32"/>
          <w:lang w:val="en-US" w:eastAsia="zh-CN" w:bidi="ar-SA"/>
        </w:rPr>
        <w:t>年度项目绩效自评工作中，我单位认真筹划，严密组织，以严谨务实的态度，不折不扣落实县委、县政府的相关要求，不断开创工作新局面，优质高效地完成了各项工作，我县公共资源交易服务保持了高质量持续向好发展势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（二）存在的问题</w:t>
      </w:r>
    </w:p>
    <w:p>
      <w:pPr>
        <w:pageBreakBefore w:val="0"/>
        <w:kinsoku/>
        <w:wordWrap/>
        <w:overflowPunct/>
        <w:topLinePunct w:val="0"/>
        <w:bidi w:val="0"/>
        <w:spacing w:line="578" w:lineRule="exact"/>
        <w:ind w:firstLine="640" w:firstLineChars="200"/>
        <w:jc w:val="left"/>
        <w:textAlignment w:val="auto"/>
        <w:rPr>
          <w:rFonts w:ascii="仿宋_GB2312" w:eastAsia="仿宋_GB2312"/>
          <w:sz w:val="32"/>
          <w:szCs w:val="32"/>
        </w:rPr>
      </w:pPr>
      <w:r>
        <w:rPr>
          <w:rFonts w:hint="eastAsia" w:ascii="仿宋" w:hAnsi="仿宋" w:eastAsia="仿宋"/>
          <w:color w:val="000000"/>
          <w:sz w:val="32"/>
          <w:szCs w:val="32"/>
        </w:rPr>
        <w:t>专家评审费与</w:t>
      </w:r>
      <w:r>
        <w:rPr>
          <w:rFonts w:hint="eastAsia" w:ascii="仿宋" w:hAnsi="仿宋" w:eastAsia="仿宋"/>
          <w:color w:val="000000"/>
          <w:sz w:val="32"/>
          <w:szCs w:val="32"/>
          <w:lang w:eastAsia="zh-CN"/>
        </w:rPr>
        <w:t>公共资源交易</w:t>
      </w:r>
      <w:r>
        <w:rPr>
          <w:rFonts w:hint="eastAsia" w:ascii="仿宋" w:hAnsi="仿宋" w:eastAsia="仿宋"/>
          <w:color w:val="000000"/>
          <w:sz w:val="32"/>
          <w:szCs w:val="32"/>
        </w:rPr>
        <w:t>项目数量直接相关，预算编制时无法准确编制专家评审费预算。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（三）相关建议</w:t>
      </w:r>
    </w:p>
    <w:p>
      <w:pPr>
        <w:pageBreakBefore w:val="0"/>
        <w:kinsoku/>
        <w:wordWrap/>
        <w:overflowPunct/>
        <w:topLinePunct w:val="0"/>
        <w:bidi w:val="0"/>
        <w:spacing w:line="578" w:lineRule="exact"/>
        <w:ind w:firstLine="640" w:firstLineChars="200"/>
        <w:jc w:val="left"/>
        <w:textAlignment w:val="auto"/>
        <w:rPr>
          <w:rFonts w:hint="eastAsia" w:ascii="仿宋" w:hAnsi="仿宋" w:eastAsia="仿宋"/>
          <w:color w:val="000000"/>
          <w:sz w:val="32"/>
          <w:szCs w:val="32"/>
        </w:rPr>
      </w:pPr>
      <w:r>
        <w:rPr>
          <w:rFonts w:hint="eastAsia" w:ascii="仿宋" w:hAnsi="仿宋" w:eastAsia="仿宋"/>
          <w:color w:val="000000"/>
          <w:sz w:val="32"/>
          <w:szCs w:val="32"/>
        </w:rPr>
        <w:t>规范管理制度，提高财务信息质量，完善管理制度，进一步加强项目资金管理。</w:t>
      </w:r>
    </w:p>
    <w:p>
      <w:pPr>
        <w:pageBreakBefore w:val="0"/>
        <w:kinsoku/>
        <w:wordWrap/>
        <w:overflowPunct/>
        <w:topLinePunct w:val="0"/>
        <w:bidi w:val="0"/>
        <w:spacing w:line="578" w:lineRule="exact"/>
        <w:ind w:firstLine="640" w:firstLineChars="200"/>
        <w:jc w:val="left"/>
        <w:textAlignment w:val="auto"/>
        <w:rPr>
          <w:rFonts w:hint="eastAsia" w:ascii="仿宋" w:hAnsi="仿宋" w:eastAsia="仿宋"/>
          <w:color w:val="000000"/>
          <w:sz w:val="32"/>
          <w:szCs w:val="32"/>
        </w:rPr>
      </w:pPr>
    </w:p>
    <w:p>
      <w:pPr>
        <w:pageBreakBefore w:val="0"/>
        <w:widowControl/>
        <w:kinsoku/>
        <w:wordWrap/>
        <w:overflowPunct/>
        <w:topLinePunct w:val="0"/>
        <w:bidi w:val="0"/>
        <w:spacing w:line="578" w:lineRule="exact"/>
        <w:ind w:firstLine="1320" w:firstLineChars="300"/>
        <w:jc w:val="both"/>
        <w:textAlignment w:val="auto"/>
        <w:rPr>
          <w:rFonts w:hint="eastAsia"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br w:type="page"/>
      </w:r>
    </w:p>
    <w:p>
      <w:pPr>
        <w:pageBreakBefore w:val="0"/>
        <w:widowControl/>
        <w:kinsoku/>
        <w:wordWrap/>
        <w:overflowPunct/>
        <w:topLinePunct w:val="0"/>
        <w:bidi w:val="0"/>
        <w:spacing w:line="578" w:lineRule="exact"/>
        <w:ind w:firstLine="1320" w:firstLineChars="300"/>
        <w:jc w:val="both"/>
        <w:textAlignment w:val="auto"/>
        <w:rPr>
          <w:rFonts w:ascii="黑体" w:hAnsi="黑体" w:eastAsia="黑体"/>
          <w:bCs/>
          <w:kern w:val="44"/>
          <w:sz w:val="44"/>
          <w:szCs w:val="44"/>
        </w:rPr>
      </w:pPr>
      <w:r>
        <w:rPr>
          <w:rFonts w:hint="eastAsia" w:ascii="方正小标宋简体" w:hAnsi="宋体" w:eastAsia="方正小标宋简体"/>
          <w:color w:val="000000"/>
          <w:kern w:val="0"/>
          <w:sz w:val="44"/>
          <w:szCs w:val="44"/>
        </w:rPr>
        <w:t>业务运行费</w:t>
      </w: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pageBreakBefore w:val="0"/>
        <w:kinsoku/>
        <w:wordWrap/>
        <w:overflowPunct/>
        <w:topLinePunct w:val="0"/>
        <w:bidi w:val="0"/>
        <w:adjustRightInd w:val="0"/>
        <w:snapToGrid w:val="0"/>
        <w:spacing w:line="578" w:lineRule="exact"/>
        <w:ind w:firstLine="720"/>
        <w:textAlignment w:val="auto"/>
        <w:rPr>
          <w:rFonts w:hint="eastAsia" w:ascii="黑体" w:hAnsi="宋体" w:eastAsia="黑体"/>
          <w:sz w:val="32"/>
          <w:szCs w:val="32"/>
        </w:rPr>
      </w:pPr>
    </w:p>
    <w:p>
      <w:pPr>
        <w:pageBreakBefore w:val="0"/>
        <w:kinsoku/>
        <w:wordWrap/>
        <w:overflowPunct/>
        <w:topLinePunct w:val="0"/>
        <w:bidi w:val="0"/>
        <w:adjustRightInd w:val="0"/>
        <w:snapToGrid w:val="0"/>
        <w:spacing w:line="578" w:lineRule="exact"/>
        <w:ind w:firstLine="72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（一）项目基本情况</w:t>
      </w:r>
    </w:p>
    <w:p>
      <w:pPr>
        <w:pStyle w:val="30"/>
        <w:pageBreakBefore w:val="0"/>
        <w:kinsoku/>
        <w:wordWrap/>
        <w:overflowPunct/>
        <w:topLinePunct w:val="0"/>
        <w:bidi w:val="0"/>
        <w:spacing w:line="578" w:lineRule="exact"/>
        <w:ind w:firstLine="640" w:firstLineChars="200"/>
        <w:contextualSpacing/>
        <w:jc w:val="both"/>
        <w:textAlignment w:val="auto"/>
        <w:rPr>
          <w:rFonts w:ascii="仿宋_GB2312" w:eastAsia="仿宋_GB2312"/>
          <w:sz w:val="32"/>
          <w:szCs w:val="32"/>
        </w:rPr>
      </w:pPr>
      <w:r>
        <w:rPr>
          <w:rFonts w:hint="eastAsia" w:ascii="仿宋_GB2312" w:hAnsi="宋体" w:eastAsia="仿宋_GB2312" w:cs="黑体"/>
          <w:kern w:val="2"/>
          <w:sz w:val="32"/>
          <w:szCs w:val="32"/>
          <w:lang w:val="en-US" w:eastAsia="zh-CN" w:bidi="ar-SA"/>
        </w:rPr>
        <w:t>有序推进政府采购、工程建设、国有资产、土地与矿权、农村产权等相关业务工作；按各项公共资源交易活动相关时间节点规定，如期开展并完成相关工作；切实降低工作支出成本，推进全县公共资源交易活动公正、有序、高效进行，提高各方交易主体对本平台功能满意度。</w:t>
      </w:r>
      <w:r>
        <w:rPr>
          <w:rFonts w:hint="eastAsia" w:ascii="Times New Roman" w:hAnsi="Times New Roman" w:eastAsia="仿宋_GB2312" w:cs="Times New Roman"/>
          <w:color w:val="auto"/>
          <w:sz w:val="32"/>
          <w:szCs w:val="32"/>
        </w:rPr>
        <w:t>我单位申报公共资源交易业务经费项目。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（二）项目绩效目标</w:t>
      </w:r>
    </w:p>
    <w:p>
      <w:pPr>
        <w:pStyle w:val="42"/>
        <w:pageBreakBefore w:val="0"/>
        <w:kinsoku/>
        <w:wordWrap/>
        <w:overflowPunct/>
        <w:topLinePunct w:val="0"/>
        <w:bidi w:val="0"/>
        <w:spacing w:line="578" w:lineRule="exact"/>
        <w:ind w:firstLine="640"/>
        <w:textAlignment w:val="auto"/>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一是为了巩固改革成果，促进职能转变，规范交易行为，减少交易风险，保证公平公正、促进交易阳光高效，优化公共资源交易环境，服务于经济社会建设。二是严格按照全省“示范交易中心”的要求，进一步提高服务质量，规范服务行为，为进场交易各方提供高质量和高效率运行，成功创建首批全省“示范交易中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（三）项目自评步骤及方法</w:t>
      </w:r>
    </w:p>
    <w:p>
      <w:pPr>
        <w:pStyle w:val="30"/>
        <w:pageBreakBefore w:val="0"/>
        <w:kinsoku/>
        <w:wordWrap/>
        <w:overflowPunct/>
        <w:topLinePunct w:val="0"/>
        <w:bidi w:val="0"/>
        <w:spacing w:line="578" w:lineRule="exact"/>
        <w:ind w:firstLine="643" w:firstLineChars="200"/>
        <w:contextualSpacing/>
        <w:jc w:val="both"/>
        <w:textAlignment w:val="auto"/>
        <w:rPr>
          <w:rFonts w:hint="eastAsia" w:ascii="仿宋" w:hAnsi="仿宋" w:eastAsia="仿宋" w:cs="Times New Roman"/>
          <w:color w:val="000000"/>
          <w:kern w:val="0"/>
          <w:sz w:val="32"/>
          <w:szCs w:val="32"/>
          <w:lang w:val="en-US" w:eastAsia="zh-CN" w:bidi="ar-SA"/>
        </w:rPr>
      </w:pPr>
      <w:r>
        <w:rPr>
          <w:rFonts w:hint="eastAsia" w:ascii="Times New Roman" w:hAnsi="Times New Roman" w:eastAsia="仿宋_GB2312" w:cs="Times New Roman"/>
          <w:b/>
          <w:bCs/>
          <w:color w:val="auto"/>
          <w:sz w:val="32"/>
          <w:szCs w:val="32"/>
        </w:rPr>
        <w:t>1.前期准备。</w:t>
      </w:r>
      <w:r>
        <w:rPr>
          <w:rFonts w:hint="eastAsia" w:ascii="仿宋" w:hAnsi="仿宋" w:eastAsia="仿宋" w:cs="Times New Roman"/>
          <w:color w:val="000000"/>
          <w:kern w:val="0"/>
          <w:sz w:val="32"/>
          <w:szCs w:val="32"/>
          <w:lang w:val="en-US" w:eastAsia="zh-CN" w:bidi="ar-SA"/>
        </w:rPr>
        <w:t>认真学习财政关于全面推行预算绩效管理的相关文件精神，研究绩效评价指标体系，准确把握工作要求，为扎实开展绩效评价打下良好基础。</w:t>
      </w:r>
    </w:p>
    <w:p>
      <w:pPr>
        <w:pStyle w:val="30"/>
        <w:pageBreakBefore w:val="0"/>
        <w:kinsoku/>
        <w:wordWrap/>
        <w:overflowPunct/>
        <w:topLinePunct w:val="0"/>
        <w:bidi w:val="0"/>
        <w:spacing w:line="578" w:lineRule="exact"/>
        <w:ind w:firstLine="643" w:firstLineChars="200"/>
        <w:contextualSpacing/>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2.组织实施。</w:t>
      </w:r>
      <w:r>
        <w:rPr>
          <w:rFonts w:hint="eastAsia" w:ascii="Times New Roman" w:hAnsi="Times New Roman" w:eastAsia="仿宋_GB2312" w:cs="Times New Roman"/>
          <w:color w:val="auto"/>
          <w:sz w:val="32"/>
          <w:szCs w:val="32"/>
        </w:rPr>
        <w:t>针对绩效评价的相关要求，认真收集、核实评价基础数据，进行绩效自评，根据检查情况，撰写绩效自评报告。</w:t>
      </w:r>
    </w:p>
    <w:p>
      <w:pPr>
        <w:pageBreakBefore w:val="0"/>
        <w:kinsoku/>
        <w:wordWrap/>
        <w:overflowPunct/>
        <w:topLinePunct w:val="0"/>
        <w:bidi w:val="0"/>
        <w:adjustRightInd w:val="0"/>
        <w:snapToGrid w:val="0"/>
        <w:spacing w:line="578" w:lineRule="exact"/>
        <w:ind w:firstLine="720"/>
        <w:textAlignment w:val="auto"/>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（一）项目资金申报及批复情况</w:t>
      </w:r>
    </w:p>
    <w:p>
      <w:pPr>
        <w:pStyle w:val="30"/>
        <w:pageBreakBefore w:val="0"/>
        <w:kinsoku/>
        <w:wordWrap/>
        <w:overflowPunct/>
        <w:topLinePunct w:val="0"/>
        <w:bidi w:val="0"/>
        <w:spacing w:line="578" w:lineRule="exact"/>
        <w:ind w:firstLine="640" w:firstLineChars="200"/>
        <w:contextualSpacing/>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我单位申报公共资源交易业务经费项目资金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25.06</w:t>
      </w:r>
      <w:r>
        <w:rPr>
          <w:rFonts w:hint="eastAsia"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县</w:t>
      </w:r>
      <w:r>
        <w:rPr>
          <w:rFonts w:hint="eastAsia" w:ascii="Times New Roman" w:hAnsi="Times New Roman" w:eastAsia="仿宋_GB2312" w:cs="Times New Roman"/>
          <w:color w:val="000000" w:themeColor="text1"/>
          <w:sz w:val="32"/>
          <w:szCs w:val="32"/>
          <w14:textFill>
            <w14:solidFill>
              <w14:schemeClr w14:val="tx1"/>
            </w14:solidFill>
          </w14:textFill>
        </w:rPr>
        <w:t>财政局批复该项目预算资金指标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25.06</w:t>
      </w:r>
      <w:r>
        <w:rPr>
          <w:rFonts w:hint="eastAsia" w:ascii="Times New Roman" w:hAnsi="Times New Roman" w:eastAsia="仿宋_GB2312" w:cs="Times New Roman"/>
          <w:color w:val="000000" w:themeColor="text1"/>
          <w:sz w:val="32"/>
          <w:szCs w:val="32"/>
          <w14:textFill>
            <w14:solidFill>
              <w14:schemeClr w14:val="tx1"/>
            </w14:solidFill>
          </w14:textFill>
        </w:rPr>
        <w:t>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（二）资金计划、到位及使用情况</w:t>
      </w:r>
    </w:p>
    <w:p>
      <w:pPr>
        <w:pStyle w:val="30"/>
        <w:pageBreakBefore w:val="0"/>
        <w:kinsoku/>
        <w:wordWrap/>
        <w:overflowPunct/>
        <w:topLinePunct w:val="0"/>
        <w:bidi w:val="0"/>
        <w:spacing w:line="578" w:lineRule="exact"/>
        <w:ind w:firstLine="643" w:firstLineChars="200"/>
        <w:contextualSpacing/>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rPr>
        <w:t>．资金计划。</w:t>
      </w:r>
      <w:r>
        <w:rPr>
          <w:rFonts w:hint="eastAsia" w:ascii="Times New Roman" w:hAnsi="Times New Roman" w:eastAsia="仿宋_GB2312" w:cs="Times New Roman"/>
          <w:color w:val="auto"/>
          <w:sz w:val="32"/>
          <w:szCs w:val="32"/>
        </w:rPr>
        <w:t>该</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万元为</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财政资金。</w:t>
      </w:r>
    </w:p>
    <w:p>
      <w:pPr>
        <w:pStyle w:val="30"/>
        <w:pageBreakBefore w:val="0"/>
        <w:kinsoku/>
        <w:wordWrap/>
        <w:overflowPunct/>
        <w:topLinePunct w:val="0"/>
        <w:bidi w:val="0"/>
        <w:spacing w:line="578" w:lineRule="exact"/>
        <w:ind w:firstLine="643" w:firstLineChars="200"/>
        <w:contextualSpacing/>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2</w:t>
      </w:r>
      <w:r>
        <w:rPr>
          <w:rFonts w:hint="eastAsia" w:ascii="Times New Roman" w:hAnsi="Times New Roman" w:eastAsia="仿宋_GB2312" w:cs="Times New Roman"/>
          <w:b/>
          <w:bCs/>
          <w:color w:val="auto"/>
          <w:sz w:val="32"/>
          <w:szCs w:val="32"/>
        </w:rPr>
        <w:t>．资金到位。</w:t>
      </w:r>
      <w:r>
        <w:rPr>
          <w:rFonts w:hint="eastAsia" w:ascii="Times New Roman" w:hAnsi="Times New Roman" w:eastAsia="仿宋_GB2312" w:cs="Times New Roman"/>
          <w:color w:val="auto"/>
          <w:sz w:val="32"/>
          <w:szCs w:val="32"/>
        </w:rPr>
        <w:t>资金到位率100%，到位及时性100%。</w:t>
      </w:r>
    </w:p>
    <w:p>
      <w:pPr>
        <w:pStyle w:val="30"/>
        <w:pageBreakBefore w:val="0"/>
        <w:kinsoku/>
        <w:wordWrap/>
        <w:overflowPunct/>
        <w:topLinePunct w:val="0"/>
        <w:bidi w:val="0"/>
        <w:spacing w:line="578" w:lineRule="exact"/>
        <w:ind w:firstLine="643" w:firstLineChars="200"/>
        <w:contextualSpacing/>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3</w:t>
      </w:r>
      <w:r>
        <w:rPr>
          <w:rFonts w:hint="eastAsia" w:ascii="Times New Roman" w:hAnsi="Times New Roman" w:eastAsia="仿宋_GB2312" w:cs="Times New Roman"/>
          <w:b/>
          <w:bCs/>
          <w:color w:val="auto"/>
          <w:sz w:val="32"/>
          <w:szCs w:val="32"/>
        </w:rPr>
        <w:t>、资金使用。</w:t>
      </w:r>
      <w:r>
        <w:rPr>
          <w:rFonts w:hint="eastAsia" w:ascii="Times New Roman" w:hAnsi="Times New Roman" w:eastAsia="仿宋_GB2312" w:cs="Times New Roman"/>
          <w:color w:val="auto"/>
          <w:sz w:val="32"/>
          <w:szCs w:val="32"/>
        </w:rPr>
        <w:t>截止评价时点，公共资源交易业务经费项目资金实际</w:t>
      </w:r>
      <w:r>
        <w:rPr>
          <w:rFonts w:hint="eastAsia" w:ascii="Times New Roman" w:hAnsi="Times New Roman" w:eastAsia="仿宋_GB2312" w:cs="Times New Roman"/>
          <w:color w:val="000000" w:themeColor="text1"/>
          <w:sz w:val="32"/>
          <w:szCs w:val="32"/>
          <w14:textFill>
            <w14:solidFill>
              <w14:schemeClr w14:val="tx1"/>
            </w14:solidFill>
          </w14:textFill>
        </w:rPr>
        <w:t>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25.06</w:t>
      </w:r>
      <w:r>
        <w:rPr>
          <w:rFonts w:hint="eastAsia"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auto"/>
          <w:sz w:val="32"/>
          <w:szCs w:val="32"/>
        </w:rPr>
        <w:t>资金使用安全、规范、有效，资金支付范围、支付标准、支付进度、支付依据合规合法，与预算相符。</w:t>
      </w:r>
    </w:p>
    <w:p>
      <w:pPr>
        <w:pageBreakBefore w:val="0"/>
        <w:kinsoku/>
        <w:wordWrap/>
        <w:overflowPunct/>
        <w:topLinePunct w:val="0"/>
        <w:bidi w:val="0"/>
        <w:adjustRightInd w:val="0"/>
        <w:snapToGrid w:val="0"/>
        <w:spacing w:line="578" w:lineRule="exact"/>
        <w:ind w:firstLine="720"/>
        <w:textAlignment w:val="auto"/>
        <w:rPr>
          <w:rFonts w:ascii="黑体" w:hAnsi="宋体" w:eastAsia="黑体"/>
          <w:sz w:val="32"/>
          <w:szCs w:val="32"/>
        </w:rPr>
      </w:pPr>
      <w:r>
        <w:rPr>
          <w:rFonts w:hint="eastAsia" w:ascii="黑体" w:hAnsi="宋体" w:eastAsia="黑体"/>
          <w:sz w:val="32"/>
          <w:szCs w:val="32"/>
        </w:rPr>
        <w:t>三、项目实施及管理情况</w:t>
      </w:r>
    </w:p>
    <w:p>
      <w:pPr>
        <w:pageBreakBefore w:val="0"/>
        <w:kinsoku/>
        <w:wordWrap/>
        <w:overflowPunct/>
        <w:topLinePunct w:val="0"/>
        <w:bidi w:val="0"/>
        <w:adjustRightInd w:val="0"/>
        <w:snapToGrid w:val="0"/>
        <w:spacing w:line="578" w:lineRule="exact"/>
        <w:ind w:firstLine="720"/>
        <w:textAlignment w:val="auto"/>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（一）项目组织架构及实施流程</w:t>
      </w:r>
    </w:p>
    <w:p>
      <w:pPr>
        <w:pageBreakBefore w:val="0"/>
        <w:kinsoku/>
        <w:wordWrap/>
        <w:overflowPunct/>
        <w:topLinePunct w:val="0"/>
        <w:bidi w:val="0"/>
        <w:spacing w:line="578" w:lineRule="exact"/>
        <w:ind w:left="720"/>
        <w:textAlignment w:val="auto"/>
        <w:rPr>
          <w:rFonts w:ascii="仿宋_GB2312" w:eastAsia="仿宋_GB2312"/>
          <w:sz w:val="32"/>
          <w:szCs w:val="32"/>
        </w:rPr>
      </w:pPr>
      <w:r>
        <w:rPr>
          <w:rFonts w:hint="eastAsia" w:ascii="仿宋_GB2312" w:eastAsia="仿宋_GB2312"/>
          <w:sz w:val="32"/>
          <w:szCs w:val="32"/>
        </w:rPr>
        <w:t>成立项目工作领导小组。</w:t>
      </w:r>
    </w:p>
    <w:p>
      <w:pPr>
        <w:pageBreakBefore w:val="0"/>
        <w:kinsoku/>
        <w:wordWrap/>
        <w:overflowPunct/>
        <w:topLinePunct w:val="0"/>
        <w:bidi w:val="0"/>
        <w:adjustRightInd w:val="0"/>
        <w:snapToGrid w:val="0"/>
        <w:spacing w:line="578" w:lineRule="exact"/>
        <w:ind w:firstLine="720"/>
        <w:textAlignment w:val="auto"/>
        <w:rPr>
          <w:rFonts w:hint="eastAsia" w:ascii="楷体_GB2312" w:hAnsi="宋体" w:eastAsia="楷体_GB2312"/>
          <w:sz w:val="32"/>
          <w:szCs w:val="32"/>
          <w:lang w:val="zh-CN"/>
        </w:rPr>
      </w:pPr>
      <w:r>
        <w:rPr>
          <w:rFonts w:hint="eastAsia" w:ascii="楷体_GB2312" w:hAnsi="宋体" w:eastAsia="楷体_GB2312"/>
          <w:sz w:val="32"/>
          <w:szCs w:val="32"/>
          <w:lang w:val="zh-CN"/>
        </w:rPr>
        <w:t>1.组织架构</w:t>
      </w:r>
    </w:p>
    <w:p>
      <w:pPr>
        <w:pageBreakBefore w:val="0"/>
        <w:kinsoku/>
        <w:wordWrap/>
        <w:overflowPunct/>
        <w:topLinePunct w:val="0"/>
        <w:bidi w:val="0"/>
        <w:adjustRightInd w:val="0"/>
        <w:snapToGrid w:val="0"/>
        <w:spacing w:line="578" w:lineRule="exact"/>
        <w:ind w:firstLine="72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组</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val="zh-CN"/>
        </w:rPr>
        <w:t>长：主任</w:t>
      </w:r>
    </w:p>
    <w:p>
      <w:pPr>
        <w:pageBreakBefore w:val="0"/>
        <w:kinsoku/>
        <w:wordWrap/>
        <w:overflowPunct/>
        <w:topLinePunct w:val="0"/>
        <w:bidi w:val="0"/>
        <w:adjustRightInd w:val="0"/>
        <w:snapToGrid w:val="0"/>
        <w:spacing w:line="578" w:lineRule="exact"/>
        <w:ind w:firstLine="72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zh-CN"/>
        </w:rPr>
        <w:t>副组长：副主任</w:t>
      </w:r>
      <w:r>
        <w:rPr>
          <w:rFonts w:hint="eastAsia" w:ascii="仿宋_GB2312" w:hAnsi="宋体" w:eastAsia="仿宋_GB2312"/>
          <w:sz w:val="32"/>
          <w:szCs w:val="32"/>
          <w:lang w:val="en-US" w:eastAsia="zh-CN"/>
        </w:rPr>
        <w:t xml:space="preserve"> 纪检组长</w:t>
      </w:r>
    </w:p>
    <w:p>
      <w:pPr>
        <w:pageBreakBefore w:val="0"/>
        <w:kinsoku/>
        <w:wordWrap/>
        <w:overflowPunct/>
        <w:topLinePunct w:val="0"/>
        <w:bidi w:val="0"/>
        <w:adjustRightInd w:val="0"/>
        <w:snapToGrid w:val="0"/>
        <w:spacing w:line="578" w:lineRule="exact"/>
        <w:ind w:firstLine="72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成</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val="zh-CN"/>
        </w:rPr>
        <w:t>员：各股室负责人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（二）项目管理情况</w:t>
      </w:r>
    </w:p>
    <w:p>
      <w:pPr>
        <w:pageBreakBefore w:val="0"/>
        <w:kinsoku/>
        <w:wordWrap/>
        <w:overflowPunct/>
        <w:topLinePunct w:val="0"/>
        <w:bidi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本项目采取项目工作领导小组负责制，全体成员积极配合、通力合作。项目工作领导小组负责协调相关工作，项目实施及资金管理。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（三）项目监管情况</w:t>
      </w:r>
    </w:p>
    <w:p>
      <w:pPr>
        <w:pageBreakBefore w:val="0"/>
        <w:kinsoku/>
        <w:wordWrap/>
        <w:overflowPunct/>
        <w:topLinePunct w:val="0"/>
        <w:bidi w:val="0"/>
        <w:spacing w:line="578" w:lineRule="exact"/>
        <w:ind w:firstLine="640" w:firstLineChars="200"/>
        <w:textAlignment w:val="auto"/>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项目资金由</w:t>
      </w:r>
      <w:r>
        <w:rPr>
          <w:rFonts w:hint="eastAsia" w:ascii="仿宋_GB2312" w:eastAsia="仿宋_GB2312"/>
          <w:color w:val="000000" w:themeColor="text1"/>
          <w:sz w:val="32"/>
          <w:szCs w:val="32"/>
          <w:lang w:eastAsia="zh-CN"/>
          <w14:textFill>
            <w14:solidFill>
              <w14:schemeClr w14:val="tx1"/>
            </w14:solidFill>
          </w14:textFill>
        </w:rPr>
        <w:t>办公室负责，办公室下设财务室</w:t>
      </w:r>
      <w:r>
        <w:rPr>
          <w:rFonts w:hint="eastAsia" w:ascii="仿宋_GB2312" w:eastAsia="仿宋_GB2312"/>
          <w:color w:val="000000" w:themeColor="text1"/>
          <w:sz w:val="32"/>
          <w:szCs w:val="32"/>
          <w14:textFill>
            <w14:solidFill>
              <w14:schemeClr w14:val="tx1"/>
            </w14:solidFill>
          </w14:textFill>
        </w:rPr>
        <w:t>具体管理，对项目资金按项目单独核算实行“专款专用”，不得挤占挪用项目资金。</w:t>
      </w: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强化监督，对项目资金列支进行常态化地监督检查。</w:t>
      </w:r>
    </w:p>
    <w:p>
      <w:pPr>
        <w:pageBreakBefore w:val="0"/>
        <w:kinsoku/>
        <w:wordWrap/>
        <w:overflowPunct/>
        <w:topLinePunct w:val="0"/>
        <w:bidi w:val="0"/>
        <w:adjustRightInd w:val="0"/>
        <w:snapToGrid w:val="0"/>
        <w:spacing w:line="578" w:lineRule="exact"/>
        <w:ind w:firstLine="720"/>
        <w:textAlignment w:val="auto"/>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（一）项目完成情况</w:t>
      </w:r>
    </w:p>
    <w:p>
      <w:pPr>
        <w:pStyle w:val="42"/>
        <w:pageBreakBefore w:val="0"/>
        <w:kinsoku/>
        <w:wordWrap/>
        <w:overflowPunct/>
        <w:topLinePunct w:val="0"/>
        <w:bidi w:val="0"/>
        <w:spacing w:line="578" w:lineRule="exact"/>
        <w:ind w:firstLine="640"/>
        <w:jc w:val="left"/>
        <w:textAlignment w:val="auto"/>
        <w:rPr>
          <w:rFonts w:hint="eastAsia" w:ascii="仿宋_GB2312" w:hAnsi="宋体" w:eastAsia="仿宋_GB2312"/>
          <w:sz w:val="32"/>
          <w:szCs w:val="32"/>
        </w:rPr>
      </w:pPr>
      <w:r>
        <w:rPr>
          <w:rFonts w:hint="eastAsia" w:ascii="仿宋_GB2312" w:eastAsia="仿宋_GB2312"/>
          <w:sz w:val="32"/>
          <w:szCs w:val="32"/>
        </w:rPr>
        <w:t>1.目标完成任务量。一</w:t>
      </w:r>
      <w:r>
        <w:rPr>
          <w:rFonts w:hint="eastAsia" w:ascii="仿宋_GB2312" w:hAnsi="宋体" w:eastAsia="仿宋_GB2312"/>
          <w:sz w:val="32"/>
          <w:szCs w:val="32"/>
        </w:rPr>
        <w:t>是</w:t>
      </w:r>
      <w:r>
        <w:rPr>
          <w:rFonts w:hint="eastAsia" w:ascii="仿宋" w:hAnsi="仿宋" w:eastAsia="仿宋" w:cs="Times New Roman"/>
          <w:color w:val="000000"/>
          <w:kern w:val="0"/>
          <w:sz w:val="32"/>
          <w:szCs w:val="32"/>
          <w:lang w:val="en-US" w:eastAsia="zh-CN" w:bidi="ar-SA"/>
        </w:rPr>
        <w:t>全年完成政府采购项目125宗，国有土地交易33宗，国有资产交易15个批次，集体经营性建设用地交易8个批次，采砂权交易1宗。</w:t>
      </w:r>
      <w:r>
        <w:rPr>
          <w:rFonts w:hint="eastAsia" w:ascii="仿宋_GB2312" w:hAnsi="宋体" w:eastAsia="仿宋_GB2312"/>
          <w:sz w:val="32"/>
          <w:szCs w:val="32"/>
          <w:lang w:eastAsia="zh-CN"/>
        </w:rPr>
        <w:t>二</w:t>
      </w:r>
      <w:r>
        <w:rPr>
          <w:rFonts w:hint="eastAsia" w:ascii="仿宋_GB2312" w:hAnsi="宋体" w:eastAsia="仿宋_GB2312"/>
          <w:sz w:val="32"/>
          <w:szCs w:val="32"/>
        </w:rPr>
        <w:t>是创建成为全省首批“示范交易中心”。</w:t>
      </w:r>
    </w:p>
    <w:p>
      <w:pPr>
        <w:pStyle w:val="42"/>
        <w:pageBreakBefore w:val="0"/>
        <w:kinsoku/>
        <w:wordWrap/>
        <w:overflowPunct/>
        <w:topLinePunct w:val="0"/>
        <w:bidi w:val="0"/>
        <w:spacing w:line="578" w:lineRule="exact"/>
        <w:ind w:firstLine="640"/>
        <w:jc w:val="left"/>
        <w:textAlignment w:val="auto"/>
        <w:rPr>
          <w:rFonts w:ascii="仿宋_GB2312" w:hAnsi="宋体" w:eastAsia="仿宋_GB2312"/>
          <w:sz w:val="32"/>
          <w:szCs w:val="32"/>
        </w:rPr>
      </w:pPr>
      <w:r>
        <w:rPr>
          <w:rFonts w:hint="eastAsia" w:ascii="仿宋_GB2312" w:eastAsia="仿宋_GB2312"/>
          <w:sz w:val="32"/>
          <w:szCs w:val="32"/>
        </w:rPr>
        <w:t>2.目标完成质量。</w:t>
      </w:r>
      <w:r>
        <w:rPr>
          <w:rFonts w:hint="eastAsia" w:ascii="仿宋_GB2312" w:hAnsi="宋体" w:eastAsia="仿宋_GB2312"/>
          <w:sz w:val="32"/>
          <w:szCs w:val="32"/>
        </w:rPr>
        <w:t>保证公平公正、促进交易阳光高效，优化公共资源交易环境，服务于经济社会建设。</w:t>
      </w:r>
    </w:p>
    <w:p>
      <w:pPr>
        <w:pageBreakBefore w:val="0"/>
        <w:kinsoku/>
        <w:wordWrap/>
        <w:overflowPunct/>
        <w:topLinePunct w:val="0"/>
        <w:bidi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3.目标完成进度。截止202</w:t>
      </w:r>
      <w:r>
        <w:rPr>
          <w:rFonts w:hint="eastAsia" w:ascii="仿宋_GB2312" w:eastAsia="仿宋_GB2312"/>
          <w:sz w:val="32"/>
          <w:szCs w:val="32"/>
          <w:lang w:val="en-US" w:eastAsia="zh-CN"/>
        </w:rPr>
        <w:t>1</w:t>
      </w:r>
      <w:r>
        <w:rPr>
          <w:rFonts w:hint="eastAsia" w:ascii="仿宋_GB2312" w:eastAsia="仿宋_GB2312"/>
          <w:sz w:val="32"/>
          <w:szCs w:val="32"/>
        </w:rPr>
        <w:t>年12月，业务运行费项目已全面完成。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（二）项目效益情况</w:t>
      </w:r>
    </w:p>
    <w:p>
      <w:pPr>
        <w:pStyle w:val="30"/>
        <w:pageBreakBefore w:val="0"/>
        <w:kinsoku/>
        <w:wordWrap/>
        <w:overflowPunct/>
        <w:topLinePunct w:val="0"/>
        <w:bidi w:val="0"/>
        <w:spacing w:line="578" w:lineRule="exact"/>
        <w:ind w:firstLine="640" w:firstLineChars="200"/>
        <w:contextualSpacing/>
        <w:jc w:val="both"/>
        <w:textAlignment w:val="auto"/>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保障</w:t>
      </w:r>
      <w:r>
        <w:rPr>
          <w:rFonts w:hint="eastAsia" w:ascii="仿宋_GB2312" w:hAnsi="宋体" w:eastAsia="仿宋_GB2312"/>
          <w:sz w:val="32"/>
          <w:szCs w:val="32"/>
          <w:shd w:val="clear" w:color="auto" w:fill="FFFFFF"/>
          <w:lang w:eastAsia="zh-CN"/>
        </w:rPr>
        <w:t>县</w:t>
      </w:r>
      <w:r>
        <w:rPr>
          <w:rFonts w:hint="eastAsia" w:ascii="仿宋_GB2312" w:hAnsi="宋体" w:eastAsia="仿宋_GB2312"/>
          <w:sz w:val="32"/>
          <w:szCs w:val="32"/>
          <w:shd w:val="clear" w:color="auto" w:fill="FFFFFF"/>
        </w:rPr>
        <w:t>本级公共资源交易工作的顺利开展，对外提高我</w:t>
      </w:r>
      <w:r>
        <w:rPr>
          <w:rFonts w:hint="eastAsia" w:ascii="仿宋_GB2312" w:hAnsi="宋体" w:eastAsia="仿宋_GB2312"/>
          <w:sz w:val="32"/>
          <w:szCs w:val="32"/>
          <w:shd w:val="clear" w:color="auto" w:fill="FFFFFF"/>
          <w:lang w:eastAsia="zh-CN"/>
        </w:rPr>
        <w:t>县</w:t>
      </w:r>
      <w:r>
        <w:rPr>
          <w:rFonts w:hint="eastAsia" w:ascii="仿宋_GB2312" w:hAnsi="宋体" w:eastAsia="仿宋_GB2312"/>
          <w:sz w:val="32"/>
          <w:szCs w:val="32"/>
          <w:shd w:val="clear" w:color="auto" w:fill="FFFFFF"/>
        </w:rPr>
        <w:t>的知名度和市场优势，吸引更多的企业在我</w:t>
      </w:r>
      <w:r>
        <w:rPr>
          <w:rFonts w:hint="eastAsia" w:ascii="仿宋_GB2312" w:hAnsi="宋体" w:eastAsia="仿宋_GB2312"/>
          <w:sz w:val="32"/>
          <w:szCs w:val="32"/>
          <w:shd w:val="clear" w:color="auto" w:fill="FFFFFF"/>
          <w:lang w:eastAsia="zh-CN"/>
        </w:rPr>
        <w:t>县</w:t>
      </w:r>
      <w:r>
        <w:rPr>
          <w:rFonts w:hint="eastAsia" w:ascii="仿宋_GB2312" w:hAnsi="宋体" w:eastAsia="仿宋_GB2312"/>
          <w:sz w:val="32"/>
          <w:szCs w:val="32"/>
          <w:shd w:val="clear" w:color="auto" w:fill="FFFFFF"/>
        </w:rPr>
        <w:t>参与土地招拍挂、</w:t>
      </w:r>
      <w:r>
        <w:rPr>
          <w:rFonts w:hint="eastAsia" w:ascii="仿宋_GB2312" w:hAnsi="宋体" w:eastAsia="仿宋_GB2312"/>
          <w:sz w:val="32"/>
          <w:szCs w:val="32"/>
          <w:shd w:val="clear" w:color="auto" w:fill="FFFFFF"/>
          <w:lang w:eastAsia="zh-CN"/>
        </w:rPr>
        <w:t>资产地矿交易、</w:t>
      </w:r>
      <w:r>
        <w:rPr>
          <w:rFonts w:hint="eastAsia" w:ascii="仿宋_GB2312" w:hAnsi="宋体" w:eastAsia="仿宋_GB2312"/>
          <w:sz w:val="32"/>
          <w:szCs w:val="32"/>
          <w:shd w:val="clear" w:color="auto" w:fill="FFFFFF"/>
        </w:rPr>
        <w:t>建设工程招投标、政府采购等各项交易活动，增加财政收入，优化“营商环境”，为进场交易各方提供高质量、高效率的服务</w:t>
      </w:r>
      <w:r>
        <w:rPr>
          <w:rFonts w:hint="eastAsia" w:ascii="Times New Roman" w:hAnsi="Times New Roman" w:eastAsia="仿宋_GB2312" w:cs="Times New Roman"/>
          <w:color w:val="auto"/>
          <w:sz w:val="32"/>
          <w:szCs w:val="32"/>
        </w:rPr>
        <w:t>。</w:t>
      </w:r>
    </w:p>
    <w:p>
      <w:pPr>
        <w:pageBreakBefore w:val="0"/>
        <w:kinsoku/>
        <w:wordWrap/>
        <w:overflowPunct/>
        <w:topLinePunct w:val="0"/>
        <w:bidi w:val="0"/>
        <w:adjustRightInd w:val="0"/>
        <w:snapToGrid w:val="0"/>
        <w:spacing w:line="578" w:lineRule="exact"/>
        <w:ind w:firstLine="720"/>
        <w:textAlignment w:val="auto"/>
        <w:rPr>
          <w:rFonts w:ascii="黑体" w:hAnsi="宋体" w:eastAsia="黑体"/>
          <w:sz w:val="32"/>
          <w:szCs w:val="32"/>
        </w:rPr>
      </w:pPr>
      <w:r>
        <w:rPr>
          <w:rFonts w:hint="eastAsia" w:ascii="黑体" w:hAnsi="宋体" w:eastAsia="黑体"/>
          <w:sz w:val="32"/>
          <w:szCs w:val="32"/>
        </w:rPr>
        <w:t>五、评价结论及建议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（一）评价结论</w:t>
      </w:r>
    </w:p>
    <w:p>
      <w:pPr>
        <w:pStyle w:val="30"/>
        <w:pageBreakBefore w:val="0"/>
        <w:kinsoku/>
        <w:wordWrap/>
        <w:overflowPunct/>
        <w:topLinePunct w:val="0"/>
        <w:bidi w:val="0"/>
        <w:spacing w:line="578" w:lineRule="exact"/>
        <w:ind w:firstLine="640" w:firstLineChars="200"/>
        <w:contextualSpacing/>
        <w:jc w:val="both"/>
        <w:textAlignment w:val="auto"/>
        <w:rPr>
          <w:rFonts w:ascii="仿宋_GB2312" w:hAnsi="仿宋" w:eastAsia="仿宋_GB2312" w:cs="仿宋_GB2312"/>
          <w:bCs/>
          <w:sz w:val="32"/>
          <w:szCs w:val="32"/>
        </w:rPr>
      </w:pPr>
      <w:r>
        <w:rPr>
          <w:rFonts w:hint="eastAsia" w:ascii="Times New Roman" w:hAnsi="Times New Roman" w:eastAsia="仿宋_GB2312" w:cs="Times New Roman"/>
          <w:color w:val="auto"/>
          <w:sz w:val="32"/>
          <w:szCs w:val="32"/>
        </w:rPr>
        <w:t>在202</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年度项目绩效自评工作中，我单位认真筹划，严密组织，以严谨务实的态度，不折不扣落实</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政府的相关要求</w:t>
      </w:r>
      <w:r>
        <w:rPr>
          <w:rFonts w:hint="eastAsia" w:ascii="仿宋" w:hAnsi="仿宋" w:eastAsia="仿宋"/>
          <w:color w:val="000000"/>
          <w:sz w:val="32"/>
          <w:szCs w:val="32"/>
        </w:rPr>
        <w:t>，</w:t>
      </w:r>
      <w:r>
        <w:rPr>
          <w:rFonts w:ascii="仿宋" w:hAnsi="仿宋" w:eastAsia="仿宋"/>
          <w:color w:val="000000"/>
          <w:sz w:val="32"/>
          <w:szCs w:val="32"/>
        </w:rPr>
        <w:t>不断开创工作新局面，</w:t>
      </w:r>
      <w:r>
        <w:rPr>
          <w:rFonts w:hint="eastAsia" w:ascii="仿宋_GB2312" w:eastAsia="仿宋_GB2312"/>
          <w:kern w:val="0"/>
          <w:sz w:val="32"/>
          <w:szCs w:val="32"/>
        </w:rPr>
        <w:t>优质高效地完成了各项工作，我</w:t>
      </w:r>
      <w:r>
        <w:rPr>
          <w:rFonts w:hint="eastAsia" w:ascii="仿宋_GB2312" w:eastAsia="仿宋_GB2312"/>
          <w:kern w:val="0"/>
          <w:sz w:val="32"/>
          <w:szCs w:val="32"/>
          <w:lang w:eastAsia="zh-CN"/>
        </w:rPr>
        <w:t>县</w:t>
      </w:r>
      <w:r>
        <w:rPr>
          <w:rFonts w:hint="eastAsia" w:ascii="仿宋_GB2312" w:eastAsia="仿宋_GB2312"/>
          <w:kern w:val="0"/>
          <w:sz w:val="32"/>
          <w:szCs w:val="32"/>
        </w:rPr>
        <w:t>公共资源交易服务保持了高质量持续向好发展势头。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（二）存在的问题</w:t>
      </w:r>
    </w:p>
    <w:p>
      <w:pPr>
        <w:pStyle w:val="30"/>
        <w:pageBreakBefore w:val="0"/>
        <w:kinsoku/>
        <w:wordWrap/>
        <w:overflowPunct/>
        <w:topLinePunct w:val="0"/>
        <w:bidi w:val="0"/>
        <w:spacing w:line="578" w:lineRule="exact"/>
        <w:ind w:firstLine="640" w:firstLineChars="200"/>
        <w:contextualSpacing/>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在部分绩效目标设定上，还需根据形势、任务的变化做相应调整和优化。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Style w:val="18"/>
          <w:rFonts w:hint="eastAsia" w:ascii="楷体_GB2312" w:hAnsi="楷体_GB2312" w:eastAsia="楷体_GB2312" w:cs="楷体_GB2312"/>
          <w:i w:val="0"/>
          <w:color w:val="000000"/>
          <w:kern w:val="0"/>
          <w:sz w:val="32"/>
          <w:szCs w:val="32"/>
          <w:shd w:val="clear" w:color="auto" w:fill="FFFFFF"/>
          <w:lang w:val="zh-CN" w:eastAsia="zh-CN" w:bidi="ar-SA"/>
        </w:rPr>
      </w:pPr>
      <w:r>
        <w:rPr>
          <w:rStyle w:val="18"/>
          <w:rFonts w:hint="eastAsia" w:ascii="楷体_GB2312" w:hAnsi="楷体_GB2312" w:eastAsia="楷体_GB2312" w:cs="楷体_GB2312"/>
          <w:i w:val="0"/>
          <w:color w:val="000000"/>
          <w:kern w:val="0"/>
          <w:sz w:val="32"/>
          <w:szCs w:val="32"/>
          <w:shd w:val="clear" w:color="auto" w:fill="FFFFFF"/>
          <w:lang w:val="zh-CN" w:eastAsia="zh-CN" w:bidi="ar-SA"/>
        </w:rPr>
        <w:t>（三）相关建议</w:t>
      </w:r>
    </w:p>
    <w:p>
      <w:pPr>
        <w:pStyle w:val="30"/>
        <w:pageBreakBefore w:val="0"/>
        <w:kinsoku/>
        <w:wordWrap/>
        <w:overflowPunct/>
        <w:topLinePunct w:val="0"/>
        <w:bidi w:val="0"/>
        <w:spacing w:line="578" w:lineRule="exact"/>
        <w:ind w:firstLine="640" w:firstLineChars="200"/>
        <w:contextualSpacing/>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加强对单位预算绩效管理人员的培训，提升绩效评价人员的业务水平。</w:t>
      </w:r>
    </w:p>
    <w:p>
      <w:pPr>
        <w:pStyle w:val="30"/>
        <w:pageBreakBefore w:val="0"/>
        <w:kinsoku/>
        <w:wordWrap/>
        <w:overflowPunct/>
        <w:topLinePunct w:val="0"/>
        <w:bidi w:val="0"/>
        <w:spacing w:line="578" w:lineRule="exact"/>
        <w:ind w:firstLine="640" w:firstLineChars="200"/>
        <w:contextualSpacing/>
        <w:jc w:val="both"/>
        <w:textAlignment w:val="auto"/>
        <w:rPr>
          <w:rFonts w:hint="eastAsia" w:ascii="Times New Roman" w:hAnsi="Times New Roman" w:eastAsia="仿宋_GB2312" w:cs="Times New Roman"/>
          <w:color w:val="auto"/>
          <w:sz w:val="32"/>
          <w:szCs w:val="32"/>
        </w:rPr>
      </w:pPr>
    </w:p>
    <w:p>
      <w:pPr>
        <w:pageBreakBefore w:val="0"/>
        <w:kinsoku/>
        <w:wordWrap/>
        <w:overflowPunct/>
        <w:topLinePunct w:val="0"/>
        <w:bidi w:val="0"/>
        <w:spacing w:line="578" w:lineRule="exact"/>
        <w:jc w:val="center"/>
        <w:textAlignment w:val="auto"/>
        <w:outlineLvl w:val="0"/>
        <w:rPr>
          <w:rFonts w:hint="eastAsia" w:ascii="黑体" w:hAnsi="黑体" w:eastAsia="黑体"/>
          <w:color w:val="000000"/>
          <w:sz w:val="44"/>
          <w:szCs w:val="44"/>
        </w:rPr>
      </w:pPr>
      <w:bookmarkStart w:id="86" w:name="_Toc15396618"/>
      <w:bookmarkStart w:id="87" w:name="_Toc12789"/>
      <w:bookmarkStart w:id="88" w:name="_Toc22404"/>
    </w:p>
    <w:p>
      <w:pPr>
        <w:pageBreakBefore w:val="0"/>
        <w:kinsoku/>
        <w:wordWrap/>
        <w:overflowPunct/>
        <w:topLinePunct w:val="0"/>
        <w:bidi w:val="0"/>
        <w:spacing w:line="578" w:lineRule="exact"/>
        <w:jc w:val="center"/>
        <w:textAlignment w:val="auto"/>
        <w:outlineLvl w:val="0"/>
        <w:rPr>
          <w:rFonts w:hint="eastAsia" w:ascii="黑体" w:hAnsi="黑体" w:eastAsia="黑体"/>
          <w:color w:val="000000"/>
          <w:sz w:val="44"/>
          <w:szCs w:val="44"/>
        </w:rPr>
      </w:pPr>
    </w:p>
    <w:p>
      <w:pPr>
        <w:pageBreakBefore w:val="0"/>
        <w:kinsoku/>
        <w:wordWrap/>
        <w:overflowPunct/>
        <w:topLinePunct w:val="0"/>
        <w:bidi w:val="0"/>
        <w:spacing w:line="578" w:lineRule="exact"/>
        <w:jc w:val="center"/>
        <w:textAlignment w:val="auto"/>
        <w:outlineLvl w:val="0"/>
        <w:rPr>
          <w:rFonts w:hint="eastAsia" w:ascii="黑体" w:hAnsi="黑体" w:eastAsia="黑体"/>
          <w:color w:val="000000"/>
          <w:sz w:val="44"/>
          <w:szCs w:val="44"/>
        </w:rPr>
      </w:pPr>
    </w:p>
    <w:p>
      <w:pPr>
        <w:pageBreakBefore w:val="0"/>
        <w:kinsoku/>
        <w:wordWrap/>
        <w:overflowPunct/>
        <w:topLinePunct w:val="0"/>
        <w:bidi w:val="0"/>
        <w:spacing w:line="578" w:lineRule="exact"/>
        <w:jc w:val="center"/>
        <w:textAlignment w:val="auto"/>
        <w:outlineLvl w:val="0"/>
        <w:rPr>
          <w:rFonts w:hint="eastAsia" w:ascii="黑体" w:hAnsi="黑体" w:eastAsia="黑体"/>
          <w:color w:val="000000"/>
          <w:sz w:val="44"/>
          <w:szCs w:val="44"/>
        </w:rPr>
      </w:pPr>
    </w:p>
    <w:p>
      <w:pPr>
        <w:pageBreakBefore w:val="0"/>
        <w:kinsoku/>
        <w:wordWrap/>
        <w:overflowPunct/>
        <w:topLinePunct w:val="0"/>
        <w:bidi w:val="0"/>
        <w:spacing w:line="578" w:lineRule="exact"/>
        <w:jc w:val="center"/>
        <w:textAlignment w:val="auto"/>
        <w:outlineLvl w:val="0"/>
        <w:rPr>
          <w:rFonts w:hint="eastAsia" w:ascii="黑体" w:hAnsi="黑体" w:eastAsia="黑体"/>
          <w:color w:val="000000"/>
          <w:sz w:val="44"/>
          <w:szCs w:val="44"/>
        </w:rPr>
      </w:pPr>
    </w:p>
    <w:p>
      <w:pPr>
        <w:pageBreakBefore w:val="0"/>
        <w:kinsoku/>
        <w:wordWrap/>
        <w:overflowPunct/>
        <w:topLinePunct w:val="0"/>
        <w:bidi w:val="0"/>
        <w:spacing w:line="578" w:lineRule="exact"/>
        <w:jc w:val="center"/>
        <w:textAlignment w:val="auto"/>
        <w:outlineLvl w:val="0"/>
        <w:rPr>
          <w:rFonts w:hint="eastAsia" w:ascii="黑体" w:hAnsi="黑体" w:eastAsia="黑体"/>
          <w:color w:val="000000"/>
          <w:sz w:val="44"/>
          <w:szCs w:val="44"/>
        </w:rPr>
      </w:pPr>
    </w:p>
    <w:p>
      <w:pPr>
        <w:pageBreakBefore w:val="0"/>
        <w:kinsoku/>
        <w:wordWrap/>
        <w:overflowPunct/>
        <w:topLinePunct w:val="0"/>
        <w:bidi w:val="0"/>
        <w:spacing w:line="578" w:lineRule="exact"/>
        <w:jc w:val="center"/>
        <w:textAlignment w:val="auto"/>
        <w:outlineLvl w:val="0"/>
        <w:rPr>
          <w:rFonts w:hint="eastAsia" w:ascii="黑体" w:hAnsi="黑体" w:eastAsia="黑体"/>
          <w:color w:val="000000"/>
          <w:sz w:val="44"/>
          <w:szCs w:val="44"/>
        </w:rPr>
      </w:pPr>
    </w:p>
    <w:p>
      <w:pPr>
        <w:pageBreakBefore w:val="0"/>
        <w:kinsoku/>
        <w:wordWrap/>
        <w:overflowPunct/>
        <w:topLinePunct w:val="0"/>
        <w:bidi w:val="0"/>
        <w:spacing w:line="578" w:lineRule="exact"/>
        <w:jc w:val="center"/>
        <w:textAlignment w:val="auto"/>
        <w:outlineLvl w:val="0"/>
        <w:rPr>
          <w:rFonts w:hint="eastAsia" w:ascii="黑体" w:hAnsi="黑体" w:eastAsia="黑体"/>
          <w:color w:val="000000"/>
          <w:sz w:val="44"/>
          <w:szCs w:val="44"/>
        </w:rPr>
      </w:pPr>
    </w:p>
    <w:p>
      <w:pPr>
        <w:pageBreakBefore w:val="0"/>
        <w:kinsoku/>
        <w:wordWrap/>
        <w:overflowPunct/>
        <w:topLinePunct w:val="0"/>
        <w:bidi w:val="0"/>
        <w:spacing w:line="578" w:lineRule="exact"/>
        <w:jc w:val="center"/>
        <w:textAlignment w:val="auto"/>
        <w:outlineLvl w:val="0"/>
        <w:rPr>
          <w:rFonts w:hint="eastAsia" w:ascii="黑体" w:hAnsi="黑体" w:eastAsia="黑体"/>
          <w:color w:val="000000"/>
          <w:sz w:val="44"/>
          <w:szCs w:val="44"/>
        </w:rPr>
      </w:pPr>
    </w:p>
    <w:p>
      <w:pPr>
        <w:pageBreakBefore w:val="0"/>
        <w:kinsoku/>
        <w:wordWrap/>
        <w:overflowPunct/>
        <w:topLinePunct w:val="0"/>
        <w:bidi w:val="0"/>
        <w:spacing w:line="578" w:lineRule="exact"/>
        <w:jc w:val="center"/>
        <w:textAlignment w:val="auto"/>
        <w:outlineLvl w:val="0"/>
        <w:rPr>
          <w:rFonts w:hint="eastAsia" w:ascii="黑体" w:hAnsi="黑体" w:eastAsia="黑体"/>
          <w:color w:val="000000"/>
          <w:sz w:val="44"/>
          <w:szCs w:val="44"/>
        </w:rPr>
      </w:pPr>
    </w:p>
    <w:p>
      <w:pPr>
        <w:pageBreakBefore w:val="0"/>
        <w:kinsoku/>
        <w:wordWrap/>
        <w:overflowPunct/>
        <w:topLinePunct w:val="0"/>
        <w:bidi w:val="0"/>
        <w:spacing w:line="578" w:lineRule="exact"/>
        <w:jc w:val="center"/>
        <w:textAlignment w:val="auto"/>
        <w:outlineLvl w:val="0"/>
        <w:rPr>
          <w:rStyle w:val="37"/>
          <w:rFonts w:ascii="黑体" w:hAnsi="黑体" w:eastAsia="黑体"/>
          <w:b w:val="0"/>
        </w:rPr>
      </w:pPr>
      <w:r>
        <w:rPr>
          <w:rFonts w:hint="eastAsia" w:ascii="黑体" w:hAnsi="黑体" w:eastAsia="黑体"/>
          <w:color w:val="000000"/>
          <w:sz w:val="44"/>
          <w:szCs w:val="44"/>
        </w:rPr>
        <w:t>第</w:t>
      </w:r>
      <w:r>
        <w:rPr>
          <w:rStyle w:val="37"/>
          <w:rFonts w:hint="eastAsia" w:ascii="黑体" w:hAnsi="黑体" w:eastAsia="黑体"/>
          <w:b w:val="0"/>
        </w:rPr>
        <w:t>五部分 附表</w:t>
      </w:r>
      <w:bookmarkEnd w:id="81"/>
      <w:bookmarkEnd w:id="86"/>
      <w:bookmarkEnd w:id="87"/>
      <w:bookmarkEnd w:id="88"/>
    </w:p>
    <w:p>
      <w:pPr>
        <w:pStyle w:val="4"/>
        <w:pageBreakBefore w:val="0"/>
        <w:kinsoku/>
        <w:wordWrap/>
        <w:overflowPunct/>
        <w:topLinePunct w:val="0"/>
        <w:bidi w:val="0"/>
        <w:spacing w:before="0" w:after="0" w:line="578" w:lineRule="exact"/>
        <w:textAlignment w:val="auto"/>
        <w:rPr>
          <w:rFonts w:ascii="仿宋" w:hAnsi="仿宋" w:eastAsia="仿宋"/>
          <w:color w:val="000000"/>
        </w:rPr>
      </w:pPr>
      <w:bookmarkStart w:id="89" w:name="_Toc15396619"/>
      <w:bookmarkStart w:id="90" w:name="_Toc25705"/>
      <w:bookmarkStart w:id="91" w:name="_Toc31373"/>
      <w:r>
        <w:rPr>
          <w:rFonts w:hint="eastAsia" w:ascii="仿宋" w:hAnsi="仿宋" w:eastAsia="仿宋"/>
          <w:b w:val="0"/>
          <w:color w:val="000000"/>
        </w:rPr>
        <w:t>一、收</w:t>
      </w:r>
      <w:r>
        <w:rPr>
          <w:rStyle w:val="40"/>
          <w:rFonts w:hint="eastAsia" w:ascii="仿宋" w:hAnsi="仿宋" w:eastAsia="仿宋"/>
          <w:b w:val="0"/>
          <w:bCs w:val="0"/>
        </w:rPr>
        <w:t>入支出决算总表</w:t>
      </w:r>
      <w:bookmarkEnd w:id="89"/>
      <w:bookmarkEnd w:id="90"/>
      <w:bookmarkEnd w:id="91"/>
    </w:p>
    <w:p>
      <w:pPr>
        <w:pStyle w:val="4"/>
        <w:pageBreakBefore w:val="0"/>
        <w:kinsoku/>
        <w:wordWrap/>
        <w:overflowPunct/>
        <w:topLinePunct w:val="0"/>
        <w:bidi w:val="0"/>
        <w:spacing w:before="0" w:after="0" w:line="578" w:lineRule="exact"/>
        <w:textAlignment w:val="auto"/>
        <w:rPr>
          <w:rFonts w:ascii="仿宋" w:hAnsi="仿宋" w:eastAsia="仿宋"/>
          <w:color w:val="000000"/>
        </w:rPr>
      </w:pPr>
      <w:bookmarkStart w:id="92" w:name="_Toc15396620"/>
      <w:bookmarkStart w:id="93" w:name="_Toc17540"/>
      <w:bookmarkStart w:id="94" w:name="_Toc25105"/>
      <w:r>
        <w:rPr>
          <w:rFonts w:hint="eastAsia" w:ascii="仿宋" w:hAnsi="仿宋" w:eastAsia="仿宋"/>
          <w:b w:val="0"/>
          <w:color w:val="000000"/>
        </w:rPr>
        <w:t>二、收</w:t>
      </w:r>
      <w:r>
        <w:rPr>
          <w:rStyle w:val="40"/>
          <w:rFonts w:hint="eastAsia" w:ascii="仿宋" w:hAnsi="仿宋" w:eastAsia="仿宋"/>
          <w:b w:val="0"/>
          <w:bCs w:val="0"/>
        </w:rPr>
        <w:t>入决算表</w:t>
      </w:r>
      <w:bookmarkEnd w:id="92"/>
      <w:bookmarkEnd w:id="93"/>
      <w:bookmarkEnd w:id="94"/>
    </w:p>
    <w:p>
      <w:pPr>
        <w:pStyle w:val="4"/>
        <w:pageBreakBefore w:val="0"/>
        <w:kinsoku/>
        <w:wordWrap/>
        <w:overflowPunct/>
        <w:topLinePunct w:val="0"/>
        <w:bidi w:val="0"/>
        <w:spacing w:before="0" w:after="0" w:line="578" w:lineRule="exact"/>
        <w:textAlignment w:val="auto"/>
        <w:rPr>
          <w:rFonts w:ascii="仿宋" w:hAnsi="仿宋" w:eastAsia="仿宋"/>
          <w:color w:val="000000"/>
        </w:rPr>
      </w:pPr>
      <w:bookmarkStart w:id="95" w:name="_Toc25020"/>
      <w:bookmarkStart w:id="96" w:name="_Toc15396621"/>
      <w:bookmarkStart w:id="97" w:name="_Toc19418"/>
      <w:r>
        <w:rPr>
          <w:rStyle w:val="40"/>
          <w:rFonts w:hint="eastAsia" w:ascii="仿宋" w:hAnsi="仿宋" w:eastAsia="仿宋"/>
          <w:b w:val="0"/>
          <w:bCs w:val="0"/>
        </w:rPr>
        <w:t>三、</w:t>
      </w:r>
      <w:r>
        <w:rPr>
          <w:rFonts w:hint="eastAsia" w:ascii="仿宋" w:hAnsi="仿宋" w:eastAsia="仿宋"/>
          <w:b w:val="0"/>
          <w:color w:val="000000"/>
        </w:rPr>
        <w:t>支</w:t>
      </w:r>
      <w:r>
        <w:rPr>
          <w:rStyle w:val="40"/>
          <w:rFonts w:hint="eastAsia" w:ascii="仿宋" w:hAnsi="仿宋" w:eastAsia="仿宋"/>
          <w:b w:val="0"/>
          <w:bCs w:val="0"/>
        </w:rPr>
        <w:t>出决算表</w:t>
      </w:r>
      <w:bookmarkEnd w:id="95"/>
      <w:bookmarkEnd w:id="96"/>
      <w:bookmarkEnd w:id="97"/>
    </w:p>
    <w:p>
      <w:pPr>
        <w:pStyle w:val="4"/>
        <w:pageBreakBefore w:val="0"/>
        <w:kinsoku/>
        <w:wordWrap/>
        <w:overflowPunct/>
        <w:topLinePunct w:val="0"/>
        <w:bidi w:val="0"/>
        <w:spacing w:before="0" w:after="0" w:line="578" w:lineRule="exact"/>
        <w:textAlignment w:val="auto"/>
        <w:rPr>
          <w:rFonts w:ascii="仿宋" w:hAnsi="仿宋" w:eastAsia="仿宋"/>
          <w:b w:val="0"/>
          <w:color w:val="000000"/>
        </w:rPr>
      </w:pPr>
      <w:bookmarkStart w:id="98" w:name="_Toc15396622"/>
      <w:bookmarkStart w:id="99" w:name="_Toc9645"/>
      <w:bookmarkStart w:id="100" w:name="_Toc14067"/>
      <w:r>
        <w:rPr>
          <w:rStyle w:val="40"/>
          <w:rFonts w:hint="eastAsia" w:ascii="仿宋" w:hAnsi="仿宋" w:eastAsia="仿宋"/>
          <w:b w:val="0"/>
          <w:bCs w:val="0"/>
        </w:rPr>
        <w:t>四、</w:t>
      </w:r>
      <w:r>
        <w:rPr>
          <w:rFonts w:hint="eastAsia" w:ascii="仿宋" w:hAnsi="仿宋" w:eastAsia="仿宋"/>
          <w:b w:val="0"/>
          <w:color w:val="000000"/>
        </w:rPr>
        <w:t>财</w:t>
      </w:r>
      <w:r>
        <w:rPr>
          <w:rStyle w:val="40"/>
          <w:rFonts w:hint="eastAsia" w:ascii="仿宋" w:hAnsi="仿宋" w:eastAsia="仿宋"/>
          <w:b w:val="0"/>
          <w:bCs w:val="0"/>
        </w:rPr>
        <w:t>政拨款收入支出决算总表</w:t>
      </w:r>
      <w:bookmarkEnd w:id="98"/>
      <w:bookmarkEnd w:id="99"/>
      <w:bookmarkEnd w:id="100"/>
    </w:p>
    <w:p>
      <w:pPr>
        <w:pStyle w:val="4"/>
        <w:pageBreakBefore w:val="0"/>
        <w:kinsoku/>
        <w:wordWrap/>
        <w:overflowPunct/>
        <w:topLinePunct w:val="0"/>
        <w:bidi w:val="0"/>
        <w:spacing w:before="0" w:after="0" w:line="578" w:lineRule="exact"/>
        <w:textAlignment w:val="auto"/>
        <w:rPr>
          <w:rStyle w:val="40"/>
          <w:rFonts w:ascii="仿宋" w:hAnsi="仿宋" w:eastAsia="仿宋"/>
          <w:b w:val="0"/>
          <w:bCs w:val="0"/>
        </w:rPr>
      </w:pPr>
      <w:bookmarkStart w:id="101" w:name="_Toc15396623"/>
      <w:bookmarkStart w:id="102" w:name="_Toc19069"/>
      <w:bookmarkStart w:id="103" w:name="_Toc8185"/>
      <w:r>
        <w:rPr>
          <w:rStyle w:val="40"/>
          <w:rFonts w:hint="eastAsia" w:ascii="仿宋" w:hAnsi="仿宋" w:eastAsia="仿宋"/>
          <w:b w:val="0"/>
          <w:bCs w:val="0"/>
        </w:rPr>
        <w:t>五、</w:t>
      </w:r>
      <w:r>
        <w:rPr>
          <w:rFonts w:hint="eastAsia" w:ascii="仿宋" w:hAnsi="仿宋" w:eastAsia="仿宋"/>
          <w:b w:val="0"/>
          <w:color w:val="000000"/>
        </w:rPr>
        <w:t>财</w:t>
      </w:r>
      <w:r>
        <w:rPr>
          <w:rStyle w:val="40"/>
          <w:rFonts w:hint="eastAsia" w:ascii="仿宋" w:hAnsi="仿宋" w:eastAsia="仿宋"/>
          <w:b w:val="0"/>
          <w:bCs w:val="0"/>
        </w:rPr>
        <w:t>政拨款支出决算明细表</w:t>
      </w:r>
      <w:bookmarkEnd w:id="101"/>
      <w:bookmarkEnd w:id="102"/>
      <w:bookmarkEnd w:id="103"/>
      <w:bookmarkStart w:id="104" w:name="_Toc15396624"/>
    </w:p>
    <w:p>
      <w:pPr>
        <w:pStyle w:val="4"/>
        <w:pageBreakBefore w:val="0"/>
        <w:kinsoku/>
        <w:wordWrap/>
        <w:overflowPunct/>
        <w:topLinePunct w:val="0"/>
        <w:bidi w:val="0"/>
        <w:spacing w:before="0" w:after="0" w:line="578" w:lineRule="exact"/>
        <w:textAlignment w:val="auto"/>
        <w:rPr>
          <w:rFonts w:ascii="仿宋" w:hAnsi="仿宋" w:eastAsia="仿宋"/>
          <w:color w:val="000000"/>
        </w:rPr>
      </w:pPr>
      <w:bookmarkStart w:id="105" w:name="_Toc32727"/>
      <w:bookmarkStart w:id="106" w:name="_Toc15079"/>
      <w:r>
        <w:rPr>
          <w:rStyle w:val="40"/>
          <w:rFonts w:hint="eastAsia" w:ascii="仿宋" w:hAnsi="仿宋" w:eastAsia="仿宋"/>
          <w:b w:val="0"/>
          <w:bCs w:val="0"/>
        </w:rPr>
        <w:t>六、</w:t>
      </w:r>
      <w:r>
        <w:rPr>
          <w:rFonts w:hint="eastAsia" w:ascii="仿宋" w:hAnsi="仿宋" w:eastAsia="仿宋"/>
          <w:b w:val="0"/>
          <w:color w:val="000000"/>
        </w:rPr>
        <w:t>一</w:t>
      </w:r>
      <w:r>
        <w:rPr>
          <w:rStyle w:val="40"/>
          <w:rFonts w:hint="eastAsia" w:ascii="仿宋" w:hAnsi="仿宋" w:eastAsia="仿宋"/>
          <w:b w:val="0"/>
          <w:bCs w:val="0"/>
        </w:rPr>
        <w:t>般公共预算财政拨款支出决算表</w:t>
      </w:r>
      <w:bookmarkEnd w:id="104"/>
      <w:bookmarkEnd w:id="105"/>
      <w:bookmarkEnd w:id="106"/>
    </w:p>
    <w:p>
      <w:pPr>
        <w:pStyle w:val="4"/>
        <w:pageBreakBefore w:val="0"/>
        <w:kinsoku/>
        <w:wordWrap/>
        <w:overflowPunct/>
        <w:topLinePunct w:val="0"/>
        <w:bidi w:val="0"/>
        <w:spacing w:before="0" w:after="0" w:line="578" w:lineRule="exact"/>
        <w:textAlignment w:val="auto"/>
        <w:rPr>
          <w:rFonts w:ascii="仿宋" w:hAnsi="仿宋" w:eastAsia="仿宋"/>
          <w:color w:val="000000"/>
        </w:rPr>
      </w:pPr>
      <w:bookmarkStart w:id="107" w:name="_Toc15396625"/>
      <w:bookmarkStart w:id="108" w:name="_Toc21335"/>
      <w:bookmarkStart w:id="109" w:name="_Toc10577"/>
      <w:r>
        <w:rPr>
          <w:rStyle w:val="40"/>
          <w:rFonts w:hint="eastAsia" w:ascii="仿宋" w:hAnsi="仿宋" w:eastAsia="仿宋"/>
          <w:b w:val="0"/>
          <w:bCs w:val="0"/>
        </w:rPr>
        <w:t>七、</w:t>
      </w:r>
      <w:r>
        <w:rPr>
          <w:rFonts w:hint="eastAsia" w:ascii="仿宋" w:hAnsi="仿宋" w:eastAsia="仿宋"/>
          <w:b w:val="0"/>
          <w:color w:val="000000"/>
        </w:rPr>
        <w:t>一</w:t>
      </w:r>
      <w:r>
        <w:rPr>
          <w:rStyle w:val="40"/>
          <w:rFonts w:hint="eastAsia" w:ascii="仿宋" w:hAnsi="仿宋" w:eastAsia="仿宋"/>
          <w:b w:val="0"/>
          <w:bCs w:val="0"/>
        </w:rPr>
        <w:t>般公共预算财政拨款支出决算明细表</w:t>
      </w:r>
      <w:bookmarkEnd w:id="107"/>
      <w:bookmarkEnd w:id="108"/>
      <w:bookmarkEnd w:id="109"/>
    </w:p>
    <w:p>
      <w:pPr>
        <w:pStyle w:val="4"/>
        <w:pageBreakBefore w:val="0"/>
        <w:kinsoku/>
        <w:wordWrap/>
        <w:overflowPunct/>
        <w:topLinePunct w:val="0"/>
        <w:bidi w:val="0"/>
        <w:spacing w:before="0" w:after="0" w:line="578" w:lineRule="exact"/>
        <w:textAlignment w:val="auto"/>
        <w:rPr>
          <w:rFonts w:ascii="仿宋" w:hAnsi="仿宋" w:eastAsia="仿宋"/>
          <w:color w:val="000000"/>
        </w:rPr>
      </w:pPr>
      <w:bookmarkStart w:id="110" w:name="_Toc15396626"/>
      <w:bookmarkStart w:id="111" w:name="_Toc8540"/>
      <w:bookmarkStart w:id="112" w:name="_Toc7398"/>
      <w:r>
        <w:rPr>
          <w:rStyle w:val="40"/>
          <w:rFonts w:hint="eastAsia" w:ascii="仿宋" w:hAnsi="仿宋" w:eastAsia="仿宋"/>
          <w:b w:val="0"/>
          <w:bCs w:val="0"/>
        </w:rPr>
        <w:t>八、</w:t>
      </w:r>
      <w:r>
        <w:rPr>
          <w:rFonts w:hint="eastAsia" w:ascii="仿宋" w:hAnsi="仿宋" w:eastAsia="仿宋"/>
          <w:b w:val="0"/>
          <w:color w:val="000000"/>
        </w:rPr>
        <w:t>一</w:t>
      </w:r>
      <w:r>
        <w:rPr>
          <w:rStyle w:val="40"/>
          <w:rFonts w:hint="eastAsia" w:ascii="仿宋" w:hAnsi="仿宋" w:eastAsia="仿宋"/>
          <w:b w:val="0"/>
          <w:bCs w:val="0"/>
        </w:rPr>
        <w:t>般公共预算财政拨款基本支出决算表</w:t>
      </w:r>
      <w:bookmarkEnd w:id="110"/>
      <w:bookmarkEnd w:id="111"/>
      <w:bookmarkEnd w:id="112"/>
    </w:p>
    <w:p>
      <w:pPr>
        <w:pStyle w:val="4"/>
        <w:pageBreakBefore w:val="0"/>
        <w:kinsoku/>
        <w:wordWrap/>
        <w:overflowPunct/>
        <w:topLinePunct w:val="0"/>
        <w:bidi w:val="0"/>
        <w:spacing w:before="0" w:after="0" w:line="578" w:lineRule="exact"/>
        <w:textAlignment w:val="auto"/>
        <w:rPr>
          <w:rFonts w:ascii="仿宋" w:hAnsi="仿宋" w:eastAsia="仿宋"/>
          <w:color w:val="000000"/>
        </w:rPr>
      </w:pPr>
      <w:bookmarkStart w:id="113" w:name="_Toc15396627"/>
      <w:bookmarkStart w:id="114" w:name="_Toc13363"/>
      <w:bookmarkStart w:id="115" w:name="_Toc20573"/>
      <w:r>
        <w:rPr>
          <w:rStyle w:val="40"/>
          <w:rFonts w:hint="eastAsia" w:ascii="仿宋" w:hAnsi="仿宋" w:eastAsia="仿宋"/>
          <w:b w:val="0"/>
          <w:bCs w:val="0"/>
        </w:rPr>
        <w:t>九、</w:t>
      </w:r>
      <w:r>
        <w:rPr>
          <w:rFonts w:hint="eastAsia" w:ascii="仿宋" w:hAnsi="仿宋" w:eastAsia="仿宋"/>
          <w:b w:val="0"/>
          <w:color w:val="000000"/>
        </w:rPr>
        <w:t>一</w:t>
      </w:r>
      <w:r>
        <w:rPr>
          <w:rStyle w:val="40"/>
          <w:rFonts w:hint="eastAsia" w:ascii="仿宋" w:hAnsi="仿宋" w:eastAsia="仿宋"/>
          <w:b w:val="0"/>
          <w:bCs w:val="0"/>
        </w:rPr>
        <w:t>般公共预算财政拨款项目支出决算表</w:t>
      </w:r>
      <w:bookmarkEnd w:id="113"/>
      <w:bookmarkEnd w:id="114"/>
      <w:bookmarkEnd w:id="115"/>
    </w:p>
    <w:p>
      <w:pPr>
        <w:pStyle w:val="4"/>
        <w:pageBreakBefore w:val="0"/>
        <w:kinsoku/>
        <w:wordWrap/>
        <w:overflowPunct/>
        <w:topLinePunct w:val="0"/>
        <w:bidi w:val="0"/>
        <w:spacing w:before="0" w:after="0" w:line="578" w:lineRule="exact"/>
        <w:textAlignment w:val="auto"/>
        <w:rPr>
          <w:rFonts w:ascii="仿宋" w:hAnsi="仿宋" w:eastAsia="仿宋"/>
          <w:color w:val="000000"/>
        </w:rPr>
      </w:pPr>
      <w:bookmarkStart w:id="116" w:name="_Toc27458"/>
      <w:bookmarkStart w:id="117" w:name="_Toc15396628"/>
      <w:bookmarkStart w:id="118" w:name="_Toc16807"/>
      <w:r>
        <w:rPr>
          <w:rStyle w:val="40"/>
          <w:rFonts w:hint="eastAsia" w:ascii="仿宋" w:hAnsi="仿宋" w:eastAsia="仿宋"/>
          <w:b w:val="0"/>
          <w:bCs w:val="0"/>
        </w:rPr>
        <w:t>十、</w:t>
      </w:r>
      <w:r>
        <w:rPr>
          <w:rFonts w:hint="eastAsia" w:ascii="仿宋" w:hAnsi="仿宋" w:eastAsia="仿宋"/>
          <w:b w:val="0"/>
          <w:color w:val="000000"/>
        </w:rPr>
        <w:t>一</w:t>
      </w:r>
      <w:r>
        <w:rPr>
          <w:rStyle w:val="40"/>
          <w:rFonts w:hint="eastAsia" w:ascii="仿宋" w:hAnsi="仿宋" w:eastAsia="仿宋"/>
          <w:b w:val="0"/>
          <w:bCs w:val="0"/>
        </w:rPr>
        <w:t>般公共预算财政拨款“三公”经费支出决算表</w:t>
      </w:r>
      <w:bookmarkEnd w:id="116"/>
      <w:bookmarkEnd w:id="117"/>
      <w:bookmarkEnd w:id="118"/>
    </w:p>
    <w:p>
      <w:pPr>
        <w:pStyle w:val="4"/>
        <w:pageBreakBefore w:val="0"/>
        <w:kinsoku/>
        <w:wordWrap/>
        <w:overflowPunct/>
        <w:topLinePunct w:val="0"/>
        <w:bidi w:val="0"/>
        <w:spacing w:before="0" w:after="0" w:line="578" w:lineRule="exact"/>
        <w:textAlignment w:val="auto"/>
        <w:rPr>
          <w:rFonts w:ascii="仿宋" w:hAnsi="仿宋" w:eastAsia="仿宋"/>
          <w:color w:val="000000"/>
        </w:rPr>
      </w:pPr>
      <w:bookmarkStart w:id="119" w:name="_Toc20815"/>
      <w:bookmarkStart w:id="120" w:name="_Toc15396629"/>
      <w:bookmarkStart w:id="121" w:name="_Toc6886"/>
      <w:r>
        <w:rPr>
          <w:rStyle w:val="40"/>
          <w:rFonts w:hint="eastAsia" w:ascii="仿宋" w:hAnsi="仿宋" w:eastAsia="仿宋"/>
          <w:b w:val="0"/>
          <w:bCs w:val="0"/>
        </w:rPr>
        <w:t>十一、</w:t>
      </w:r>
      <w:r>
        <w:rPr>
          <w:rFonts w:hint="eastAsia" w:ascii="仿宋" w:hAnsi="仿宋" w:eastAsia="仿宋"/>
          <w:b w:val="0"/>
          <w:color w:val="000000"/>
        </w:rPr>
        <w:t>政</w:t>
      </w:r>
      <w:r>
        <w:rPr>
          <w:rStyle w:val="40"/>
          <w:rFonts w:hint="eastAsia" w:ascii="仿宋" w:hAnsi="仿宋" w:eastAsia="仿宋"/>
          <w:b w:val="0"/>
          <w:bCs w:val="0"/>
        </w:rPr>
        <w:t>府性基金预算财政拨款收入支出决算表</w:t>
      </w:r>
      <w:bookmarkEnd w:id="119"/>
      <w:bookmarkEnd w:id="120"/>
      <w:bookmarkEnd w:id="121"/>
    </w:p>
    <w:p>
      <w:pPr>
        <w:pStyle w:val="4"/>
        <w:pageBreakBefore w:val="0"/>
        <w:kinsoku/>
        <w:wordWrap/>
        <w:overflowPunct/>
        <w:topLinePunct w:val="0"/>
        <w:bidi w:val="0"/>
        <w:spacing w:before="0" w:after="0" w:line="578" w:lineRule="exact"/>
        <w:textAlignment w:val="auto"/>
        <w:rPr>
          <w:rFonts w:ascii="仿宋" w:hAnsi="仿宋" w:eastAsia="仿宋"/>
          <w:color w:val="000000"/>
        </w:rPr>
      </w:pPr>
      <w:bookmarkStart w:id="122" w:name="_Toc7295"/>
      <w:bookmarkStart w:id="123" w:name="_Toc15396630"/>
      <w:bookmarkStart w:id="124" w:name="_Toc27254"/>
      <w:r>
        <w:rPr>
          <w:rStyle w:val="40"/>
          <w:rFonts w:hint="eastAsia" w:ascii="仿宋" w:hAnsi="仿宋" w:eastAsia="仿宋"/>
          <w:b w:val="0"/>
          <w:bCs w:val="0"/>
        </w:rPr>
        <w:t>十二、</w:t>
      </w:r>
      <w:r>
        <w:rPr>
          <w:rFonts w:hint="eastAsia" w:ascii="仿宋" w:hAnsi="仿宋" w:eastAsia="仿宋"/>
          <w:b w:val="0"/>
          <w:color w:val="000000"/>
        </w:rPr>
        <w:t>政</w:t>
      </w:r>
      <w:r>
        <w:rPr>
          <w:rStyle w:val="40"/>
          <w:rFonts w:hint="eastAsia" w:ascii="仿宋" w:hAnsi="仿宋" w:eastAsia="仿宋"/>
          <w:b w:val="0"/>
          <w:bCs w:val="0"/>
        </w:rPr>
        <w:t>府性基金预算财政拨款“三公”经费支出决算表</w:t>
      </w:r>
      <w:bookmarkEnd w:id="122"/>
      <w:bookmarkEnd w:id="123"/>
      <w:bookmarkEnd w:id="124"/>
    </w:p>
    <w:p>
      <w:pPr>
        <w:pStyle w:val="4"/>
        <w:pageBreakBefore w:val="0"/>
        <w:kinsoku/>
        <w:wordWrap/>
        <w:overflowPunct/>
        <w:topLinePunct w:val="0"/>
        <w:bidi w:val="0"/>
        <w:spacing w:before="0" w:after="0" w:line="578" w:lineRule="exact"/>
        <w:textAlignment w:val="auto"/>
        <w:rPr>
          <w:rStyle w:val="40"/>
          <w:rFonts w:hint="eastAsia" w:ascii="仿宋" w:hAnsi="仿宋" w:eastAsia="仿宋"/>
          <w:b w:val="0"/>
          <w:bCs w:val="0"/>
        </w:rPr>
      </w:pPr>
      <w:bookmarkStart w:id="125" w:name="_Toc9704"/>
      <w:bookmarkStart w:id="126" w:name="_Toc15396631"/>
      <w:bookmarkStart w:id="127" w:name="_Toc512"/>
      <w:r>
        <w:rPr>
          <w:rStyle w:val="40"/>
          <w:rFonts w:hint="eastAsia" w:ascii="仿宋" w:hAnsi="仿宋" w:eastAsia="仿宋"/>
          <w:b w:val="0"/>
          <w:bCs w:val="0"/>
        </w:rPr>
        <w:t>十三、</w:t>
      </w:r>
      <w:r>
        <w:rPr>
          <w:rFonts w:hint="eastAsia" w:ascii="仿宋" w:hAnsi="仿宋" w:eastAsia="仿宋"/>
          <w:b w:val="0"/>
          <w:color w:val="000000"/>
        </w:rPr>
        <w:t>国</w:t>
      </w:r>
      <w:r>
        <w:rPr>
          <w:rStyle w:val="40"/>
          <w:rFonts w:hint="eastAsia" w:ascii="仿宋" w:hAnsi="仿宋" w:eastAsia="仿宋"/>
          <w:b w:val="0"/>
          <w:bCs w:val="0"/>
        </w:rPr>
        <w:t>有资本经营预算</w:t>
      </w:r>
      <w:r>
        <w:rPr>
          <w:rStyle w:val="40"/>
          <w:rFonts w:hint="eastAsia" w:ascii="仿宋" w:hAnsi="仿宋" w:eastAsia="仿宋"/>
          <w:b w:val="0"/>
          <w:bCs w:val="0"/>
          <w:lang w:eastAsia="zh-CN"/>
        </w:rPr>
        <w:t>财政拨款收入</w:t>
      </w:r>
      <w:r>
        <w:rPr>
          <w:rStyle w:val="40"/>
          <w:rFonts w:hint="eastAsia" w:ascii="仿宋" w:hAnsi="仿宋" w:eastAsia="仿宋"/>
          <w:b w:val="0"/>
          <w:bCs w:val="0"/>
        </w:rPr>
        <w:t>支出决算表</w:t>
      </w:r>
      <w:bookmarkEnd w:id="125"/>
      <w:bookmarkEnd w:id="126"/>
      <w:bookmarkEnd w:id="127"/>
    </w:p>
    <w:p>
      <w:pPr>
        <w:pStyle w:val="4"/>
        <w:pageBreakBefore w:val="0"/>
        <w:kinsoku/>
        <w:wordWrap/>
        <w:overflowPunct/>
        <w:topLinePunct w:val="0"/>
        <w:bidi w:val="0"/>
        <w:spacing w:before="0" w:after="0" w:line="578" w:lineRule="exact"/>
        <w:textAlignment w:val="auto"/>
        <w:rPr>
          <w:rStyle w:val="40"/>
          <w:rFonts w:hint="eastAsia" w:ascii="仿宋" w:hAnsi="仿宋" w:eastAsia="仿宋"/>
          <w:b w:val="0"/>
          <w:bCs w:val="0"/>
        </w:rPr>
      </w:pPr>
      <w:bookmarkStart w:id="128" w:name="_Toc31858"/>
      <w:bookmarkStart w:id="129" w:name="_Toc931"/>
      <w:r>
        <w:rPr>
          <w:rStyle w:val="40"/>
          <w:rFonts w:hint="eastAsia" w:ascii="仿宋" w:hAnsi="仿宋" w:eastAsia="仿宋"/>
          <w:b w:val="0"/>
          <w:bCs w:val="0"/>
          <w:lang w:eastAsia="zh-CN"/>
        </w:rPr>
        <w:t>十四、</w:t>
      </w:r>
      <w:r>
        <w:rPr>
          <w:rFonts w:hint="eastAsia" w:ascii="仿宋" w:hAnsi="仿宋" w:eastAsia="仿宋"/>
          <w:b w:val="0"/>
          <w:color w:val="000000"/>
        </w:rPr>
        <w:t>国</w:t>
      </w:r>
      <w:r>
        <w:rPr>
          <w:rStyle w:val="40"/>
          <w:rFonts w:hint="eastAsia" w:ascii="仿宋" w:hAnsi="仿宋" w:eastAsia="仿宋"/>
          <w:b w:val="0"/>
          <w:bCs w:val="0"/>
        </w:rPr>
        <w:t>有资本经营预算</w:t>
      </w:r>
      <w:r>
        <w:rPr>
          <w:rStyle w:val="40"/>
          <w:rFonts w:hint="eastAsia" w:ascii="仿宋" w:hAnsi="仿宋" w:eastAsia="仿宋"/>
          <w:b w:val="0"/>
          <w:bCs w:val="0"/>
          <w:lang w:eastAsia="zh-CN"/>
        </w:rPr>
        <w:t>财政拨款</w:t>
      </w:r>
      <w:r>
        <w:rPr>
          <w:rStyle w:val="40"/>
          <w:rFonts w:hint="eastAsia" w:ascii="仿宋" w:hAnsi="仿宋" w:eastAsia="仿宋"/>
          <w:b w:val="0"/>
          <w:bCs w:val="0"/>
        </w:rPr>
        <w:t>支出决算表</w:t>
      </w:r>
      <w:bookmarkEnd w:id="128"/>
      <w:bookmarkEnd w:id="129"/>
    </w:p>
    <w:p>
      <w:pPr>
        <w:pStyle w:val="30"/>
        <w:pageBreakBefore w:val="0"/>
        <w:kinsoku/>
        <w:wordWrap/>
        <w:overflowPunct/>
        <w:topLinePunct w:val="0"/>
        <w:bidi w:val="0"/>
        <w:spacing w:line="578" w:lineRule="exact"/>
        <w:ind w:firstLine="640" w:firstLineChars="200"/>
        <w:contextualSpacing/>
        <w:textAlignment w:val="auto"/>
        <w:rPr>
          <w:rFonts w:ascii="Times New Roman" w:hAnsi="Times New Roman" w:eastAsia="仿宋_GB2312" w:cs="Times New Roman"/>
          <w:color w:val="auto"/>
          <w:sz w:val="32"/>
          <w:szCs w:val="32"/>
        </w:rPr>
      </w:pPr>
    </w:p>
    <w:sectPr>
      <w:footerReference r:id="rId5" w:type="first"/>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1NTZlMDE1NjJjYWI2MmM1NDRmYjQ4YjVjODU2MjcifQ=="/>
  </w:docVars>
  <w:rsids>
    <w:rsidRoot w:val="00DD1ABF"/>
    <w:rsid w:val="00022477"/>
    <w:rsid w:val="00030C02"/>
    <w:rsid w:val="000969C8"/>
    <w:rsid w:val="000B3724"/>
    <w:rsid w:val="00117635"/>
    <w:rsid w:val="001205C4"/>
    <w:rsid w:val="00150578"/>
    <w:rsid w:val="001A572C"/>
    <w:rsid w:val="001B6EE8"/>
    <w:rsid w:val="00201613"/>
    <w:rsid w:val="00252F26"/>
    <w:rsid w:val="00277206"/>
    <w:rsid w:val="002850C6"/>
    <w:rsid w:val="00287E23"/>
    <w:rsid w:val="002A37A3"/>
    <w:rsid w:val="002A5B9E"/>
    <w:rsid w:val="002A6AA9"/>
    <w:rsid w:val="00344C97"/>
    <w:rsid w:val="00364B5B"/>
    <w:rsid w:val="0039728C"/>
    <w:rsid w:val="003A5855"/>
    <w:rsid w:val="00420C9F"/>
    <w:rsid w:val="004328C4"/>
    <w:rsid w:val="00435178"/>
    <w:rsid w:val="00460040"/>
    <w:rsid w:val="00497729"/>
    <w:rsid w:val="00497B61"/>
    <w:rsid w:val="004B48CF"/>
    <w:rsid w:val="00525504"/>
    <w:rsid w:val="005374EE"/>
    <w:rsid w:val="00554D48"/>
    <w:rsid w:val="00573EF4"/>
    <w:rsid w:val="005B3DA3"/>
    <w:rsid w:val="005E724A"/>
    <w:rsid w:val="005F09E3"/>
    <w:rsid w:val="00627201"/>
    <w:rsid w:val="006274CD"/>
    <w:rsid w:val="00630CFE"/>
    <w:rsid w:val="00663A8E"/>
    <w:rsid w:val="00674A95"/>
    <w:rsid w:val="006949BF"/>
    <w:rsid w:val="006A19EA"/>
    <w:rsid w:val="006F05F7"/>
    <w:rsid w:val="006F06CD"/>
    <w:rsid w:val="00792405"/>
    <w:rsid w:val="007A5B39"/>
    <w:rsid w:val="007C34F8"/>
    <w:rsid w:val="007F0253"/>
    <w:rsid w:val="00816C8E"/>
    <w:rsid w:val="008437BF"/>
    <w:rsid w:val="00893649"/>
    <w:rsid w:val="008B1BB6"/>
    <w:rsid w:val="00915E7F"/>
    <w:rsid w:val="00925D32"/>
    <w:rsid w:val="009431B9"/>
    <w:rsid w:val="00950EE1"/>
    <w:rsid w:val="00957BC5"/>
    <w:rsid w:val="00961CA5"/>
    <w:rsid w:val="009812DF"/>
    <w:rsid w:val="009B3022"/>
    <w:rsid w:val="00A56EB1"/>
    <w:rsid w:val="00A81D22"/>
    <w:rsid w:val="00A81DD7"/>
    <w:rsid w:val="00AA6EB2"/>
    <w:rsid w:val="00AA6F81"/>
    <w:rsid w:val="00AB0CCA"/>
    <w:rsid w:val="00AB35C0"/>
    <w:rsid w:val="00AD0ECC"/>
    <w:rsid w:val="00AD792F"/>
    <w:rsid w:val="00B21804"/>
    <w:rsid w:val="00B3776A"/>
    <w:rsid w:val="00BE1729"/>
    <w:rsid w:val="00C73F8B"/>
    <w:rsid w:val="00C753BF"/>
    <w:rsid w:val="00CC0A7F"/>
    <w:rsid w:val="00CD3319"/>
    <w:rsid w:val="00CF0DBE"/>
    <w:rsid w:val="00CF4ECC"/>
    <w:rsid w:val="00D43BBE"/>
    <w:rsid w:val="00D74407"/>
    <w:rsid w:val="00D7774B"/>
    <w:rsid w:val="00DA380D"/>
    <w:rsid w:val="00DC05B3"/>
    <w:rsid w:val="00DD1ABF"/>
    <w:rsid w:val="00E20153"/>
    <w:rsid w:val="00E41CE5"/>
    <w:rsid w:val="00ED0383"/>
    <w:rsid w:val="00F50685"/>
    <w:rsid w:val="00F74DC4"/>
    <w:rsid w:val="00F75193"/>
    <w:rsid w:val="00FA3633"/>
    <w:rsid w:val="00FC676B"/>
    <w:rsid w:val="00FE17C3"/>
    <w:rsid w:val="01194C53"/>
    <w:rsid w:val="019E4ED3"/>
    <w:rsid w:val="024C0DD3"/>
    <w:rsid w:val="0256755B"/>
    <w:rsid w:val="02647ECA"/>
    <w:rsid w:val="026B130E"/>
    <w:rsid w:val="028A32C5"/>
    <w:rsid w:val="02A8425B"/>
    <w:rsid w:val="030B47EA"/>
    <w:rsid w:val="037405E1"/>
    <w:rsid w:val="03C70711"/>
    <w:rsid w:val="03E07A24"/>
    <w:rsid w:val="03EF1A15"/>
    <w:rsid w:val="04223B99"/>
    <w:rsid w:val="049C1B9D"/>
    <w:rsid w:val="04C04179"/>
    <w:rsid w:val="04D72BD5"/>
    <w:rsid w:val="05300538"/>
    <w:rsid w:val="056974FD"/>
    <w:rsid w:val="05A240E8"/>
    <w:rsid w:val="05A76A4C"/>
    <w:rsid w:val="069B16D1"/>
    <w:rsid w:val="06B33FA5"/>
    <w:rsid w:val="06EA548C"/>
    <w:rsid w:val="06EC66E0"/>
    <w:rsid w:val="06FA0DFD"/>
    <w:rsid w:val="0713546B"/>
    <w:rsid w:val="0737795B"/>
    <w:rsid w:val="074402CA"/>
    <w:rsid w:val="076D7821"/>
    <w:rsid w:val="08501053"/>
    <w:rsid w:val="08BF4A65"/>
    <w:rsid w:val="08FD2E27"/>
    <w:rsid w:val="093F6F9B"/>
    <w:rsid w:val="095117B3"/>
    <w:rsid w:val="0966277A"/>
    <w:rsid w:val="09F61D50"/>
    <w:rsid w:val="0A4505E1"/>
    <w:rsid w:val="0A636CB9"/>
    <w:rsid w:val="0ABD3DBD"/>
    <w:rsid w:val="0AF52007"/>
    <w:rsid w:val="0B7F5D75"/>
    <w:rsid w:val="0BF73B5D"/>
    <w:rsid w:val="0C23318D"/>
    <w:rsid w:val="0C3B250F"/>
    <w:rsid w:val="0C4F5747"/>
    <w:rsid w:val="0C71390F"/>
    <w:rsid w:val="0C7927C4"/>
    <w:rsid w:val="0CBF0B1F"/>
    <w:rsid w:val="0CE045F1"/>
    <w:rsid w:val="0CE40585"/>
    <w:rsid w:val="0CEE6D0E"/>
    <w:rsid w:val="0D091D9A"/>
    <w:rsid w:val="0D0F4ED6"/>
    <w:rsid w:val="0D246BD4"/>
    <w:rsid w:val="0D2A1D10"/>
    <w:rsid w:val="0DC3019B"/>
    <w:rsid w:val="0DDF0D4D"/>
    <w:rsid w:val="0E924011"/>
    <w:rsid w:val="0EE91E83"/>
    <w:rsid w:val="0F384BB8"/>
    <w:rsid w:val="0F613B58"/>
    <w:rsid w:val="0F615EBD"/>
    <w:rsid w:val="0F9242C9"/>
    <w:rsid w:val="0FA638D0"/>
    <w:rsid w:val="0FED7751"/>
    <w:rsid w:val="11146F5F"/>
    <w:rsid w:val="116577BB"/>
    <w:rsid w:val="12B46304"/>
    <w:rsid w:val="13196AAF"/>
    <w:rsid w:val="131B4E1E"/>
    <w:rsid w:val="1360023A"/>
    <w:rsid w:val="13954387"/>
    <w:rsid w:val="13FB7F63"/>
    <w:rsid w:val="14060DE1"/>
    <w:rsid w:val="14FB46BE"/>
    <w:rsid w:val="150115A9"/>
    <w:rsid w:val="156404B5"/>
    <w:rsid w:val="15B433D1"/>
    <w:rsid w:val="15C90318"/>
    <w:rsid w:val="15EC4007"/>
    <w:rsid w:val="169E17A5"/>
    <w:rsid w:val="169F551D"/>
    <w:rsid w:val="16B505C6"/>
    <w:rsid w:val="17FF44C5"/>
    <w:rsid w:val="1807337A"/>
    <w:rsid w:val="18325562"/>
    <w:rsid w:val="18893D8F"/>
    <w:rsid w:val="19094ED0"/>
    <w:rsid w:val="199B1FCC"/>
    <w:rsid w:val="19D159ED"/>
    <w:rsid w:val="1A3441CE"/>
    <w:rsid w:val="1A4C59BC"/>
    <w:rsid w:val="1A807414"/>
    <w:rsid w:val="1A8A7BC5"/>
    <w:rsid w:val="1ABF1CEA"/>
    <w:rsid w:val="1ADE33D6"/>
    <w:rsid w:val="1AE6371B"/>
    <w:rsid w:val="1B037642"/>
    <w:rsid w:val="1B0818E3"/>
    <w:rsid w:val="1BAB6B39"/>
    <w:rsid w:val="1BC752FA"/>
    <w:rsid w:val="1BFE5C7A"/>
    <w:rsid w:val="1C1F5136"/>
    <w:rsid w:val="1C267988"/>
    <w:rsid w:val="1D2E1647"/>
    <w:rsid w:val="1DF4614E"/>
    <w:rsid w:val="1DF81641"/>
    <w:rsid w:val="1E234C86"/>
    <w:rsid w:val="1E854FF8"/>
    <w:rsid w:val="20B11C04"/>
    <w:rsid w:val="211762A8"/>
    <w:rsid w:val="21A659B2"/>
    <w:rsid w:val="21DF0EC4"/>
    <w:rsid w:val="228C4BA7"/>
    <w:rsid w:val="22C73E32"/>
    <w:rsid w:val="23B95D62"/>
    <w:rsid w:val="244020ED"/>
    <w:rsid w:val="257B0F03"/>
    <w:rsid w:val="26000619"/>
    <w:rsid w:val="262275D1"/>
    <w:rsid w:val="26461511"/>
    <w:rsid w:val="268D5392"/>
    <w:rsid w:val="26977FBF"/>
    <w:rsid w:val="26B02E2F"/>
    <w:rsid w:val="26FD52F2"/>
    <w:rsid w:val="27421CD9"/>
    <w:rsid w:val="279938C3"/>
    <w:rsid w:val="279F537D"/>
    <w:rsid w:val="27DC037F"/>
    <w:rsid w:val="27F84A8D"/>
    <w:rsid w:val="285C15F0"/>
    <w:rsid w:val="28BB61E6"/>
    <w:rsid w:val="28DB0637"/>
    <w:rsid w:val="2920604A"/>
    <w:rsid w:val="29951D6B"/>
    <w:rsid w:val="29BC5573"/>
    <w:rsid w:val="29DB01C2"/>
    <w:rsid w:val="29E52B9D"/>
    <w:rsid w:val="29E96D83"/>
    <w:rsid w:val="29F75A7D"/>
    <w:rsid w:val="2A16744D"/>
    <w:rsid w:val="2A1D6A2D"/>
    <w:rsid w:val="2AA91689"/>
    <w:rsid w:val="2AB23619"/>
    <w:rsid w:val="2ABC5A31"/>
    <w:rsid w:val="2ABF1892"/>
    <w:rsid w:val="2AC51F3F"/>
    <w:rsid w:val="2AFA0B1C"/>
    <w:rsid w:val="2B0F281A"/>
    <w:rsid w:val="2B512E32"/>
    <w:rsid w:val="2B732DA8"/>
    <w:rsid w:val="2B862968"/>
    <w:rsid w:val="2BB313F7"/>
    <w:rsid w:val="2BB46F1D"/>
    <w:rsid w:val="2BE27F2E"/>
    <w:rsid w:val="2C5F157F"/>
    <w:rsid w:val="2CE51A84"/>
    <w:rsid w:val="2CFE66A2"/>
    <w:rsid w:val="2D2105E2"/>
    <w:rsid w:val="2D2F0F51"/>
    <w:rsid w:val="2DB651CE"/>
    <w:rsid w:val="2DD45655"/>
    <w:rsid w:val="2DDD4A26"/>
    <w:rsid w:val="2E60513A"/>
    <w:rsid w:val="2EA80FBB"/>
    <w:rsid w:val="2F776BDF"/>
    <w:rsid w:val="2F7E1D1C"/>
    <w:rsid w:val="2F8D1F5F"/>
    <w:rsid w:val="2F967065"/>
    <w:rsid w:val="2FCA4F61"/>
    <w:rsid w:val="2FCE1F78"/>
    <w:rsid w:val="30474804"/>
    <w:rsid w:val="30BB2AFC"/>
    <w:rsid w:val="316B62D0"/>
    <w:rsid w:val="31DD71CE"/>
    <w:rsid w:val="320F30FF"/>
    <w:rsid w:val="32674CE9"/>
    <w:rsid w:val="32676A97"/>
    <w:rsid w:val="32C747C1"/>
    <w:rsid w:val="32E560BD"/>
    <w:rsid w:val="32FA5B5D"/>
    <w:rsid w:val="33226E62"/>
    <w:rsid w:val="335D7E9A"/>
    <w:rsid w:val="348E497C"/>
    <w:rsid w:val="3498562E"/>
    <w:rsid w:val="35731BF7"/>
    <w:rsid w:val="35FA7C22"/>
    <w:rsid w:val="362F1FC2"/>
    <w:rsid w:val="363C032D"/>
    <w:rsid w:val="36652541"/>
    <w:rsid w:val="36C22E36"/>
    <w:rsid w:val="36C9669E"/>
    <w:rsid w:val="36D05553"/>
    <w:rsid w:val="36D466C5"/>
    <w:rsid w:val="36F6488E"/>
    <w:rsid w:val="37153F48"/>
    <w:rsid w:val="37C91FA2"/>
    <w:rsid w:val="38B40D7A"/>
    <w:rsid w:val="38B7004D"/>
    <w:rsid w:val="38C764E2"/>
    <w:rsid w:val="39047736"/>
    <w:rsid w:val="393B4E4E"/>
    <w:rsid w:val="396C0E37"/>
    <w:rsid w:val="39BF3D04"/>
    <w:rsid w:val="39C96289"/>
    <w:rsid w:val="39FA28E7"/>
    <w:rsid w:val="39FD5F33"/>
    <w:rsid w:val="3A147389"/>
    <w:rsid w:val="3A5A5B3F"/>
    <w:rsid w:val="3A842EA8"/>
    <w:rsid w:val="3B40257B"/>
    <w:rsid w:val="3C4D400B"/>
    <w:rsid w:val="3CD15B81"/>
    <w:rsid w:val="3CE82ECA"/>
    <w:rsid w:val="3CF17FD1"/>
    <w:rsid w:val="3CF8135F"/>
    <w:rsid w:val="3D385C00"/>
    <w:rsid w:val="3DD800A6"/>
    <w:rsid w:val="3DE6740A"/>
    <w:rsid w:val="3E03620E"/>
    <w:rsid w:val="3E2148E6"/>
    <w:rsid w:val="3E642A25"/>
    <w:rsid w:val="3EBB0897"/>
    <w:rsid w:val="3ECA6D2C"/>
    <w:rsid w:val="3FC62809"/>
    <w:rsid w:val="402E5098"/>
    <w:rsid w:val="407056B1"/>
    <w:rsid w:val="40774294"/>
    <w:rsid w:val="408E5B37"/>
    <w:rsid w:val="40A662AB"/>
    <w:rsid w:val="40A86754"/>
    <w:rsid w:val="41654AEA"/>
    <w:rsid w:val="418036D2"/>
    <w:rsid w:val="41BB295C"/>
    <w:rsid w:val="41C9151C"/>
    <w:rsid w:val="4278084D"/>
    <w:rsid w:val="429513FF"/>
    <w:rsid w:val="43193DDE"/>
    <w:rsid w:val="43860D47"/>
    <w:rsid w:val="438F40A0"/>
    <w:rsid w:val="443C4228"/>
    <w:rsid w:val="449F47B6"/>
    <w:rsid w:val="44A60A60"/>
    <w:rsid w:val="44A973E3"/>
    <w:rsid w:val="454809AA"/>
    <w:rsid w:val="45C06792"/>
    <w:rsid w:val="45F25F74"/>
    <w:rsid w:val="45F3102E"/>
    <w:rsid w:val="45F70E3F"/>
    <w:rsid w:val="46805F22"/>
    <w:rsid w:val="469D4D26"/>
    <w:rsid w:val="46AF79F9"/>
    <w:rsid w:val="472E3BD0"/>
    <w:rsid w:val="47971775"/>
    <w:rsid w:val="483B2A48"/>
    <w:rsid w:val="487B1CF9"/>
    <w:rsid w:val="48AF2AEE"/>
    <w:rsid w:val="48E21116"/>
    <w:rsid w:val="49D40A5E"/>
    <w:rsid w:val="4B090BDC"/>
    <w:rsid w:val="4B2F2819"/>
    <w:rsid w:val="4BA606A4"/>
    <w:rsid w:val="4C211F55"/>
    <w:rsid w:val="4C26046C"/>
    <w:rsid w:val="4C2B6930"/>
    <w:rsid w:val="4C5A730F"/>
    <w:rsid w:val="4C6836E0"/>
    <w:rsid w:val="4CA54934"/>
    <w:rsid w:val="4CAE1A3B"/>
    <w:rsid w:val="4CF62C66"/>
    <w:rsid w:val="4D0E4287"/>
    <w:rsid w:val="4D6E1743"/>
    <w:rsid w:val="4D897DB2"/>
    <w:rsid w:val="4DEE5E67"/>
    <w:rsid w:val="4E2F6BAB"/>
    <w:rsid w:val="4EC45545"/>
    <w:rsid w:val="4EF70D4B"/>
    <w:rsid w:val="4F65312C"/>
    <w:rsid w:val="4F6D7ADA"/>
    <w:rsid w:val="4F8C2525"/>
    <w:rsid w:val="4FA113E3"/>
    <w:rsid w:val="4FA64C4B"/>
    <w:rsid w:val="500A3750"/>
    <w:rsid w:val="50744A1A"/>
    <w:rsid w:val="509176A9"/>
    <w:rsid w:val="50BB64D4"/>
    <w:rsid w:val="510C21EF"/>
    <w:rsid w:val="51363DAD"/>
    <w:rsid w:val="514B3CFC"/>
    <w:rsid w:val="51A74CAA"/>
    <w:rsid w:val="51C25FE7"/>
    <w:rsid w:val="51D23796"/>
    <w:rsid w:val="5245699D"/>
    <w:rsid w:val="525E180D"/>
    <w:rsid w:val="52691F60"/>
    <w:rsid w:val="529E42FF"/>
    <w:rsid w:val="53633EBE"/>
    <w:rsid w:val="537D42F8"/>
    <w:rsid w:val="53D004E8"/>
    <w:rsid w:val="54071A30"/>
    <w:rsid w:val="5426635A"/>
    <w:rsid w:val="5438608E"/>
    <w:rsid w:val="54415F9E"/>
    <w:rsid w:val="54662BFB"/>
    <w:rsid w:val="54A11E85"/>
    <w:rsid w:val="54B75204"/>
    <w:rsid w:val="54B971CF"/>
    <w:rsid w:val="54EB3100"/>
    <w:rsid w:val="550F5041"/>
    <w:rsid w:val="5547793B"/>
    <w:rsid w:val="556529DD"/>
    <w:rsid w:val="5572737D"/>
    <w:rsid w:val="55E37E2B"/>
    <w:rsid w:val="560A7AC6"/>
    <w:rsid w:val="56462CE4"/>
    <w:rsid w:val="56483661"/>
    <w:rsid w:val="56C65BD3"/>
    <w:rsid w:val="575B32A0"/>
    <w:rsid w:val="57875362"/>
    <w:rsid w:val="57F12FF3"/>
    <w:rsid w:val="58003366"/>
    <w:rsid w:val="58061CE5"/>
    <w:rsid w:val="5847689F"/>
    <w:rsid w:val="585D60C3"/>
    <w:rsid w:val="596D066C"/>
    <w:rsid w:val="597F3D8D"/>
    <w:rsid w:val="598F6039"/>
    <w:rsid w:val="59C25456"/>
    <w:rsid w:val="59D10B16"/>
    <w:rsid w:val="59D90343"/>
    <w:rsid w:val="59E00D5A"/>
    <w:rsid w:val="59E425BC"/>
    <w:rsid w:val="59F44805"/>
    <w:rsid w:val="5AE66844"/>
    <w:rsid w:val="5B996BC4"/>
    <w:rsid w:val="5BB73D3C"/>
    <w:rsid w:val="5C313AEE"/>
    <w:rsid w:val="5C6B2146"/>
    <w:rsid w:val="5C6E0BD2"/>
    <w:rsid w:val="5CA8142D"/>
    <w:rsid w:val="5D327B1E"/>
    <w:rsid w:val="5D521F6E"/>
    <w:rsid w:val="5D610403"/>
    <w:rsid w:val="5DBC388C"/>
    <w:rsid w:val="5E287173"/>
    <w:rsid w:val="5E47584B"/>
    <w:rsid w:val="5E525F9E"/>
    <w:rsid w:val="5E547F68"/>
    <w:rsid w:val="5EC96260"/>
    <w:rsid w:val="5F4D6E91"/>
    <w:rsid w:val="5F7607A3"/>
    <w:rsid w:val="5F9A7BFD"/>
    <w:rsid w:val="5FB71904"/>
    <w:rsid w:val="5FE52313"/>
    <w:rsid w:val="605E50CE"/>
    <w:rsid w:val="60765F74"/>
    <w:rsid w:val="60AC5E39"/>
    <w:rsid w:val="60D86C2E"/>
    <w:rsid w:val="60DA29A7"/>
    <w:rsid w:val="6166248C"/>
    <w:rsid w:val="622A5268"/>
    <w:rsid w:val="626D15F8"/>
    <w:rsid w:val="62867F39"/>
    <w:rsid w:val="62B72874"/>
    <w:rsid w:val="63381C06"/>
    <w:rsid w:val="633B5253"/>
    <w:rsid w:val="63A3397C"/>
    <w:rsid w:val="643C1282"/>
    <w:rsid w:val="644D348F"/>
    <w:rsid w:val="6477675E"/>
    <w:rsid w:val="649B41FB"/>
    <w:rsid w:val="664D6AA2"/>
    <w:rsid w:val="666B5E4F"/>
    <w:rsid w:val="66A575B3"/>
    <w:rsid w:val="66B75538"/>
    <w:rsid w:val="66B932C5"/>
    <w:rsid w:val="67535261"/>
    <w:rsid w:val="67A854D3"/>
    <w:rsid w:val="67E22141"/>
    <w:rsid w:val="684A6664"/>
    <w:rsid w:val="689E5B89"/>
    <w:rsid w:val="68AC1AFC"/>
    <w:rsid w:val="68EA39A3"/>
    <w:rsid w:val="69044E7C"/>
    <w:rsid w:val="691D5B26"/>
    <w:rsid w:val="692F7608"/>
    <w:rsid w:val="69AA4EE0"/>
    <w:rsid w:val="6A06480C"/>
    <w:rsid w:val="6A5C442C"/>
    <w:rsid w:val="6A7A0D56"/>
    <w:rsid w:val="6A845731"/>
    <w:rsid w:val="6AA638F9"/>
    <w:rsid w:val="6B7E6624"/>
    <w:rsid w:val="6B80239C"/>
    <w:rsid w:val="6BD526E8"/>
    <w:rsid w:val="6BE741CA"/>
    <w:rsid w:val="6BE91CF0"/>
    <w:rsid w:val="6C951E77"/>
    <w:rsid w:val="6C9C6D62"/>
    <w:rsid w:val="6CB06CB1"/>
    <w:rsid w:val="6CE60925"/>
    <w:rsid w:val="6D396CA7"/>
    <w:rsid w:val="6D4A2C62"/>
    <w:rsid w:val="6E25722B"/>
    <w:rsid w:val="6E423939"/>
    <w:rsid w:val="6EE60768"/>
    <w:rsid w:val="6F35524C"/>
    <w:rsid w:val="6F543D73"/>
    <w:rsid w:val="6F8A5598"/>
    <w:rsid w:val="6FBE16E5"/>
    <w:rsid w:val="6FCA1E38"/>
    <w:rsid w:val="6FE10477"/>
    <w:rsid w:val="700235A1"/>
    <w:rsid w:val="70221F5A"/>
    <w:rsid w:val="707A560C"/>
    <w:rsid w:val="70BF74C3"/>
    <w:rsid w:val="711D41EA"/>
    <w:rsid w:val="716167CC"/>
    <w:rsid w:val="71685DAD"/>
    <w:rsid w:val="71EF764E"/>
    <w:rsid w:val="71F72C8D"/>
    <w:rsid w:val="724E4FA2"/>
    <w:rsid w:val="725F0F5E"/>
    <w:rsid w:val="726F2821"/>
    <w:rsid w:val="72C60FDD"/>
    <w:rsid w:val="72E50FE9"/>
    <w:rsid w:val="72F71196"/>
    <w:rsid w:val="72FA46AC"/>
    <w:rsid w:val="733028FA"/>
    <w:rsid w:val="748527D2"/>
    <w:rsid w:val="74A94EAA"/>
    <w:rsid w:val="74CB0B2C"/>
    <w:rsid w:val="759C6025"/>
    <w:rsid w:val="760342F6"/>
    <w:rsid w:val="76BF4A8A"/>
    <w:rsid w:val="77185B7F"/>
    <w:rsid w:val="77FA5285"/>
    <w:rsid w:val="78E0447A"/>
    <w:rsid w:val="78F65A4C"/>
    <w:rsid w:val="79110AD8"/>
    <w:rsid w:val="792A3948"/>
    <w:rsid w:val="793F5645"/>
    <w:rsid w:val="7A252A8D"/>
    <w:rsid w:val="7A6B246A"/>
    <w:rsid w:val="7B221D76"/>
    <w:rsid w:val="7B8E4662"/>
    <w:rsid w:val="7B9F23CB"/>
    <w:rsid w:val="7BB10350"/>
    <w:rsid w:val="7BF5023D"/>
    <w:rsid w:val="7C014E34"/>
    <w:rsid w:val="7C262AEC"/>
    <w:rsid w:val="7C321491"/>
    <w:rsid w:val="7C9D4285"/>
    <w:rsid w:val="7D010187"/>
    <w:rsid w:val="7D522C6B"/>
    <w:rsid w:val="7E1F77F3"/>
    <w:rsid w:val="7E7A4797"/>
    <w:rsid w:val="7E7C4C45"/>
    <w:rsid w:val="7E97148B"/>
    <w:rsid w:val="7F2E23E3"/>
    <w:rsid w:val="7F43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文本缩进 2 Char Char"/>
    <w:basedOn w:val="1"/>
    <w:qFormat/>
    <w:uiPriority w:val="99"/>
    <w:pPr>
      <w:spacing w:before="100" w:beforeAutospacing="1" w:line="480" w:lineRule="auto"/>
      <w:ind w:left="420" w:leftChars="200"/>
    </w:pPr>
    <w:rPr>
      <w:rFonts w:eastAsia="仿宋_GB2312"/>
      <w:sz w:val="32"/>
      <w:szCs w:val="32"/>
    </w:rPr>
  </w:style>
  <w:style w:type="paragraph" w:styleId="6">
    <w:name w:val="Normal Indent"/>
    <w:basedOn w:val="1"/>
    <w:qFormat/>
    <w:uiPriority w:val="0"/>
    <w:pPr>
      <w:ind w:firstLine="420" w:firstLineChars="200"/>
    </w:pPr>
  </w:style>
  <w:style w:type="paragraph" w:styleId="7">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4"/>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7">
    <w:name w:val="Strong"/>
    <w:basedOn w:val="16"/>
    <w:qFormat/>
    <w:uiPriority w:val="99"/>
    <w:rPr>
      <w:b/>
    </w:rPr>
  </w:style>
  <w:style w:type="character" w:styleId="18">
    <w:name w:val="Emphasis"/>
    <w:basedOn w:val="16"/>
    <w:qFormat/>
    <w:uiPriority w:val="0"/>
    <w:rPr>
      <w:i/>
    </w:rPr>
  </w:style>
  <w:style w:type="character" w:styleId="19">
    <w:name w:val="Hyperlink"/>
    <w:basedOn w:val="16"/>
    <w:unhideWhenUsed/>
    <w:qFormat/>
    <w:uiPriority w:val="99"/>
    <w:rPr>
      <w:color w:val="0563C1" w:themeColor="hyperlink"/>
      <w:u w:val="single"/>
      <w14:textFill>
        <w14:solidFill>
          <w14:schemeClr w14:val="hlink"/>
        </w14:solidFill>
      </w14:textFill>
    </w:rPr>
  </w:style>
  <w:style w:type="character" w:customStyle="1" w:styleId="20">
    <w:name w:val="标题 1 字符"/>
    <w:basedOn w:val="16"/>
    <w:link w:val="3"/>
    <w:qFormat/>
    <w:uiPriority w:val="9"/>
    <w:rPr>
      <w:rFonts w:ascii="Times New Roman" w:hAnsi="Times New Roman" w:eastAsia="宋体" w:cs="Times New Roman"/>
      <w:b/>
      <w:bCs/>
      <w:kern w:val="44"/>
      <w:sz w:val="44"/>
      <w:szCs w:val="44"/>
    </w:rPr>
  </w:style>
  <w:style w:type="character" w:customStyle="1" w:styleId="21">
    <w:name w:val="标题 2 字符"/>
    <w:basedOn w:val="16"/>
    <w:link w:val="4"/>
    <w:qFormat/>
    <w:uiPriority w:val="9"/>
    <w:rPr>
      <w:rFonts w:asciiTheme="majorHAnsi" w:hAnsiTheme="majorHAnsi" w:eastAsiaTheme="majorEastAsia" w:cstheme="majorBidi"/>
      <w:b/>
      <w:bCs/>
      <w:sz w:val="32"/>
      <w:szCs w:val="32"/>
    </w:rPr>
  </w:style>
  <w:style w:type="character" w:customStyle="1" w:styleId="22">
    <w:name w:val="标题 3 字符"/>
    <w:basedOn w:val="16"/>
    <w:link w:val="5"/>
    <w:qFormat/>
    <w:uiPriority w:val="9"/>
    <w:rPr>
      <w:rFonts w:ascii="Times New Roman" w:hAnsi="Times New Roman" w:eastAsia="宋体" w:cs="Times New Roman"/>
      <w:b/>
      <w:bCs/>
      <w:sz w:val="32"/>
      <w:szCs w:val="32"/>
    </w:rPr>
  </w:style>
  <w:style w:type="character" w:customStyle="1" w:styleId="23">
    <w:name w:val="正文文本 字符"/>
    <w:basedOn w:val="16"/>
    <w:link w:val="7"/>
    <w:qFormat/>
    <w:uiPriority w:val="99"/>
    <w:rPr>
      <w:rFonts w:ascii="仿宋_GB2312" w:hAnsi="Times New Roman" w:eastAsia="仿宋_GB2312" w:cs="Times New Roman"/>
      <w:kern w:val="0"/>
      <w:sz w:val="30"/>
      <w:szCs w:val="24"/>
    </w:rPr>
  </w:style>
  <w:style w:type="character" w:customStyle="1" w:styleId="24">
    <w:name w:val="批注框文本 字符"/>
    <w:basedOn w:val="16"/>
    <w:link w:val="9"/>
    <w:semiHidden/>
    <w:qFormat/>
    <w:uiPriority w:val="99"/>
    <w:rPr>
      <w:rFonts w:ascii="Times New Roman" w:hAnsi="Times New Roman" w:eastAsia="宋体" w:cs="Times New Roman"/>
      <w:sz w:val="18"/>
      <w:szCs w:val="18"/>
    </w:rPr>
  </w:style>
  <w:style w:type="character" w:customStyle="1" w:styleId="25">
    <w:name w:val="页脚 字符"/>
    <w:basedOn w:val="16"/>
    <w:link w:val="10"/>
    <w:qFormat/>
    <w:uiPriority w:val="99"/>
    <w:rPr>
      <w:rFonts w:ascii="Calibri" w:hAnsi="Calibri" w:eastAsia="宋体" w:cs="Times New Roman"/>
      <w:kern w:val="0"/>
      <w:sz w:val="18"/>
      <w:szCs w:val="18"/>
    </w:rPr>
  </w:style>
  <w:style w:type="character" w:customStyle="1" w:styleId="26">
    <w:name w:val="页眉 字符"/>
    <w:basedOn w:val="16"/>
    <w:link w:val="11"/>
    <w:semiHidden/>
    <w:qFormat/>
    <w:uiPriority w:val="99"/>
    <w:rPr>
      <w:rFonts w:ascii="Calibri" w:hAnsi="Calibri" w:eastAsia="宋体" w:cs="Times New Roman"/>
      <w:kern w:val="0"/>
      <w:sz w:val="18"/>
      <w:szCs w:val="18"/>
    </w:rPr>
  </w:style>
  <w:style w:type="character" w:customStyle="1" w:styleId="27">
    <w:name w:val="Header Char"/>
    <w:basedOn w:val="16"/>
    <w:semiHidden/>
    <w:qFormat/>
    <w:uiPriority w:val="99"/>
    <w:rPr>
      <w:rFonts w:ascii="Times New Roman" w:hAnsi="Times New Roman"/>
      <w:sz w:val="18"/>
      <w:szCs w:val="18"/>
    </w:rPr>
  </w:style>
  <w:style w:type="character" w:customStyle="1" w:styleId="28">
    <w:name w:val="Footer Char"/>
    <w:basedOn w:val="16"/>
    <w:semiHidden/>
    <w:qFormat/>
    <w:uiPriority w:val="99"/>
    <w:rPr>
      <w:rFonts w:ascii="Times New Roman" w:hAnsi="Times New Roman"/>
      <w:sz w:val="18"/>
      <w:szCs w:val="18"/>
    </w:rPr>
  </w:style>
  <w:style w:type="character" w:customStyle="1" w:styleId="29">
    <w:name w:val="Body Text Char"/>
    <w:basedOn w:val="16"/>
    <w:semiHidden/>
    <w:qFormat/>
    <w:uiPriority w:val="99"/>
    <w:rPr>
      <w:rFonts w:ascii="Times New Roman" w:hAnsi="Times New Roman"/>
      <w:szCs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1">
    <w:name w:val="List Paragraph"/>
    <w:basedOn w:val="1"/>
    <w:qFormat/>
    <w:uiPriority w:val="34"/>
    <w:pPr>
      <w:ind w:firstLine="420" w:firstLineChars="200"/>
    </w:p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styleId="34">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4级标题"/>
    <w:qFormat/>
    <w:uiPriority w:val="0"/>
    <w:pPr>
      <w:spacing w:line="600" w:lineRule="exact"/>
      <w:ind w:firstLine="200" w:firstLineChars="200"/>
      <w:outlineLvl w:val="3"/>
    </w:pPr>
    <w:rPr>
      <w:rFonts w:ascii="黑体" w:hAnsi="黑体" w:eastAsia="黑体" w:cs="Times New Roman"/>
      <w:color w:val="000000"/>
      <w:kern w:val="2"/>
      <w:sz w:val="30"/>
      <w:szCs w:val="30"/>
      <w:lang w:bidi="ar-SA"/>
    </w:rPr>
  </w:style>
  <w:style w:type="character" w:customStyle="1" w:styleId="37">
    <w:name w:val="标题 1 Char"/>
    <w:basedOn w:val="16"/>
    <w:link w:val="3"/>
    <w:qFormat/>
    <w:locked/>
    <w:uiPriority w:val="99"/>
    <w:rPr>
      <w:rFonts w:eastAsia="黑体"/>
      <w:bCs/>
      <w:kern w:val="44"/>
      <w:sz w:val="44"/>
      <w:szCs w:val="44"/>
    </w:rPr>
  </w:style>
  <w:style w:type="paragraph" w:customStyle="1" w:styleId="38">
    <w:name w:val="表格"/>
    <w:qFormat/>
    <w:uiPriority w:val="0"/>
    <w:pPr>
      <w:jc w:val="both"/>
      <w:textAlignment w:val="center"/>
    </w:pPr>
    <w:rPr>
      <w:rFonts w:ascii="Times New Roman" w:hAnsi="Times New Roman" w:eastAsia="仿宋" w:cs="Times New Roman"/>
      <w:color w:val="000000"/>
      <w:sz w:val="21"/>
      <w:szCs w:val="22"/>
      <w:lang w:bidi="ar-SA"/>
    </w:rPr>
  </w:style>
  <w:style w:type="character" w:customStyle="1" w:styleId="39">
    <w:name w:val="_Style 9"/>
    <w:qFormat/>
    <w:uiPriority w:val="31"/>
    <w:rPr>
      <w:smallCaps/>
      <w:color w:val="C0504D"/>
      <w:u w:val="single"/>
    </w:rPr>
  </w:style>
  <w:style w:type="character" w:customStyle="1" w:styleId="40">
    <w:name w:val="标题 2 Char"/>
    <w:basedOn w:val="16"/>
    <w:link w:val="4"/>
    <w:qFormat/>
    <w:locked/>
    <w:uiPriority w:val="9"/>
    <w:rPr>
      <w:rFonts w:ascii="Cambria" w:hAnsi="Cambria"/>
      <w:b/>
      <w:bCs/>
      <w:kern w:val="2"/>
      <w:sz w:val="32"/>
      <w:szCs w:val="32"/>
      <w:lang w:bidi="ar-SA"/>
    </w:rPr>
  </w:style>
  <w:style w:type="paragraph" w:customStyle="1" w:styleId="4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
    <w:basedOn w:val="1"/>
    <w:qFormat/>
    <w:uiPriority w:val="0"/>
    <w:pPr>
      <w:spacing w:line="360" w:lineRule="auto"/>
      <w:ind w:firstLine="200" w:firstLineChars="200"/>
    </w:pPr>
    <w:rPr>
      <w:rFonts w:ascii="Calibri" w:hAnsi="Calibri" w:cs="黑体"/>
      <w:sz w:val="24"/>
      <w:szCs w:val="22"/>
    </w:rPr>
  </w:style>
  <w:style w:type="paragraph" w:customStyle="1" w:styleId="43">
    <w:name w:val="WPSOffice手动目录 1"/>
    <w:qFormat/>
    <w:uiPriority w:val="0"/>
    <w:pPr>
      <w:ind w:leftChars="0"/>
    </w:pPr>
    <w:rPr>
      <w:rFonts w:ascii="Times New Roman" w:hAnsi="Times New Roman" w:eastAsia="宋体" w:cs="Times New Roman"/>
      <w:sz w:val="20"/>
      <w:szCs w:val="20"/>
    </w:rPr>
  </w:style>
  <w:style w:type="paragraph" w:customStyle="1" w:styleId="4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10685</Words>
  <Characters>11479</Characters>
  <Lines>150</Lines>
  <Paragraphs>42</Paragraphs>
  <TotalTime>3</TotalTime>
  <ScaleCrop>false</ScaleCrop>
  <LinksUpToDate>false</LinksUpToDate>
  <CharactersWithSpaces>15915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2021-09-26T03:48:00Z</dcterms:created>
  <dc:creator>Administrator</dc:creator>
  <cp:lastModifiedBy>哄哄</cp:lastModifiedBy>
  <cp:lastPrinted>2022-11-25T02:24:22Z</cp:lastPrinted>
  <dcterms:modified xsi:type="dcterms:W3CDTF">2022-11-25T02:35:47Z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E749824CA6DB437196C48AC16D3F74AB</vt:lpwstr>
  </property>
</Properties>
</file>